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CBAF25" w14:textId="3C251A59" w:rsidR="00030331" w:rsidRPr="008D6493" w:rsidRDefault="00DB723F" w:rsidP="00DB723F">
      <w:pPr>
        <w:jc w:val="center"/>
        <w:rPr>
          <w:rFonts w:ascii="Calibri" w:hAnsi="Calibri"/>
          <w:b/>
          <w:bCs/>
          <w:sz w:val="28"/>
          <w:szCs w:val="28"/>
        </w:rPr>
      </w:pPr>
      <w:r w:rsidRPr="008D6493">
        <w:rPr>
          <w:rFonts w:ascii="Calibri" w:hAnsi="Calibri"/>
          <w:b/>
          <w:bCs/>
          <w:sz w:val="28"/>
          <w:szCs w:val="28"/>
        </w:rPr>
        <w:t>Podmienky na udelenie kreditov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2154"/>
      </w:tblGrid>
      <w:tr w:rsidR="00DB723F" w:rsidRPr="008D6493" w14:paraId="5F925DA8" w14:textId="77777777" w:rsidTr="004A4DF1">
        <w:tc>
          <w:tcPr>
            <w:tcW w:w="2972" w:type="dxa"/>
          </w:tcPr>
          <w:p w14:paraId="791BF00B" w14:textId="5BB3817D" w:rsidR="00DB723F" w:rsidRPr="008D6493" w:rsidRDefault="00DB723F" w:rsidP="00DB723F">
            <w:pPr>
              <w:rPr>
                <w:rFonts w:ascii="Calibri" w:hAnsi="Calibri"/>
                <w:sz w:val="28"/>
                <w:szCs w:val="28"/>
              </w:rPr>
            </w:pPr>
            <w:r w:rsidRPr="008D6493">
              <w:rPr>
                <w:rFonts w:ascii="Calibri" w:hAnsi="Calibri"/>
                <w:sz w:val="28"/>
                <w:szCs w:val="28"/>
              </w:rPr>
              <w:t>Názov predmetu</w:t>
            </w:r>
          </w:p>
        </w:tc>
        <w:tc>
          <w:tcPr>
            <w:tcW w:w="12154" w:type="dxa"/>
          </w:tcPr>
          <w:p w14:paraId="3FD4BE39" w14:textId="7C150C71" w:rsidR="00DB723F" w:rsidRPr="008D6493" w:rsidRDefault="007A13A5" w:rsidP="00DB723F">
            <w:pPr>
              <w:rPr>
                <w:rFonts w:ascii="Calibri" w:hAnsi="Calibri"/>
                <w:sz w:val="28"/>
                <w:szCs w:val="28"/>
              </w:rPr>
            </w:pPr>
            <w:r w:rsidRPr="008D6493">
              <w:rPr>
                <w:rFonts w:ascii="Calibri" w:hAnsi="Calibri"/>
                <w:sz w:val="28"/>
                <w:szCs w:val="28"/>
              </w:rPr>
              <w:t>Biológia človeka I.</w:t>
            </w:r>
          </w:p>
        </w:tc>
      </w:tr>
      <w:tr w:rsidR="00DB723F" w:rsidRPr="008D6493" w14:paraId="4164CD75" w14:textId="77777777" w:rsidTr="004A4DF1">
        <w:tc>
          <w:tcPr>
            <w:tcW w:w="2972" w:type="dxa"/>
          </w:tcPr>
          <w:p w14:paraId="0D1FE4C7" w14:textId="03ED7B9D" w:rsidR="00DB723F" w:rsidRPr="008D6493" w:rsidRDefault="00DB723F" w:rsidP="00DB723F">
            <w:pPr>
              <w:rPr>
                <w:rFonts w:ascii="Calibri" w:hAnsi="Calibri"/>
                <w:sz w:val="28"/>
                <w:szCs w:val="28"/>
              </w:rPr>
            </w:pPr>
            <w:r w:rsidRPr="008D6493">
              <w:rPr>
                <w:rFonts w:ascii="Calibri" w:hAnsi="Calibri"/>
                <w:sz w:val="28"/>
                <w:szCs w:val="28"/>
              </w:rPr>
              <w:t>Typ predmetu</w:t>
            </w:r>
          </w:p>
        </w:tc>
        <w:tc>
          <w:tcPr>
            <w:tcW w:w="12154" w:type="dxa"/>
          </w:tcPr>
          <w:p w14:paraId="1B986B9B" w14:textId="287A99A6" w:rsidR="00DB723F" w:rsidRPr="008D6493" w:rsidRDefault="00DB723F" w:rsidP="00DB723F">
            <w:pPr>
              <w:rPr>
                <w:rFonts w:ascii="Calibri" w:hAnsi="Calibri"/>
                <w:sz w:val="28"/>
                <w:szCs w:val="28"/>
              </w:rPr>
            </w:pPr>
            <w:r w:rsidRPr="008D6493">
              <w:rPr>
                <w:rFonts w:ascii="Calibri" w:hAnsi="Calibri"/>
                <w:sz w:val="28"/>
                <w:szCs w:val="28"/>
              </w:rPr>
              <w:t>Povinný predmet</w:t>
            </w:r>
          </w:p>
        </w:tc>
      </w:tr>
      <w:tr w:rsidR="00DB723F" w:rsidRPr="008D6493" w14:paraId="307C155A" w14:textId="77777777" w:rsidTr="004A4DF1">
        <w:tc>
          <w:tcPr>
            <w:tcW w:w="2972" w:type="dxa"/>
          </w:tcPr>
          <w:p w14:paraId="532AEB87" w14:textId="0C17C922" w:rsidR="00DB723F" w:rsidRPr="008D6493" w:rsidRDefault="00DB723F" w:rsidP="00DB723F">
            <w:pPr>
              <w:rPr>
                <w:rFonts w:ascii="Calibri" w:hAnsi="Calibri"/>
                <w:sz w:val="28"/>
                <w:szCs w:val="28"/>
              </w:rPr>
            </w:pPr>
            <w:r w:rsidRPr="008D6493">
              <w:rPr>
                <w:rFonts w:ascii="Calibri" w:hAnsi="Calibri"/>
                <w:sz w:val="28"/>
                <w:szCs w:val="28"/>
              </w:rPr>
              <w:t>Počet kreditov</w:t>
            </w:r>
          </w:p>
        </w:tc>
        <w:tc>
          <w:tcPr>
            <w:tcW w:w="12154" w:type="dxa"/>
          </w:tcPr>
          <w:p w14:paraId="309A74B5" w14:textId="56C201E9" w:rsidR="00DB723F" w:rsidRPr="008D6493" w:rsidRDefault="00B301B5" w:rsidP="00DB723F">
            <w:pPr>
              <w:rPr>
                <w:rFonts w:ascii="Calibri" w:hAnsi="Calibri"/>
                <w:sz w:val="28"/>
                <w:szCs w:val="28"/>
              </w:rPr>
            </w:pPr>
            <w:r w:rsidRPr="008D6493">
              <w:rPr>
                <w:rFonts w:ascii="Calibri" w:hAnsi="Calibri"/>
                <w:sz w:val="28"/>
                <w:szCs w:val="28"/>
              </w:rPr>
              <w:t>6</w:t>
            </w:r>
          </w:p>
        </w:tc>
      </w:tr>
      <w:tr w:rsidR="00DB723F" w:rsidRPr="008D6493" w14:paraId="59361943" w14:textId="77777777" w:rsidTr="004A4DF1">
        <w:tc>
          <w:tcPr>
            <w:tcW w:w="2972" w:type="dxa"/>
          </w:tcPr>
          <w:p w14:paraId="234BF01E" w14:textId="08139A13" w:rsidR="00DB723F" w:rsidRPr="008D6493" w:rsidRDefault="00DB723F" w:rsidP="00DB723F">
            <w:pPr>
              <w:rPr>
                <w:rFonts w:ascii="Calibri" w:hAnsi="Calibri"/>
                <w:sz w:val="28"/>
                <w:szCs w:val="28"/>
              </w:rPr>
            </w:pPr>
            <w:r w:rsidRPr="008D6493">
              <w:rPr>
                <w:rFonts w:ascii="Calibri" w:hAnsi="Calibri"/>
                <w:sz w:val="28"/>
                <w:szCs w:val="28"/>
              </w:rPr>
              <w:t>Stupeň štúdia</w:t>
            </w:r>
          </w:p>
        </w:tc>
        <w:tc>
          <w:tcPr>
            <w:tcW w:w="12154" w:type="dxa"/>
          </w:tcPr>
          <w:p w14:paraId="3347813F" w14:textId="04781C22" w:rsidR="00DB723F" w:rsidRPr="008D6493" w:rsidRDefault="00B301B5" w:rsidP="00DB723F">
            <w:pPr>
              <w:rPr>
                <w:rFonts w:ascii="Calibri" w:hAnsi="Calibri"/>
                <w:sz w:val="28"/>
                <w:szCs w:val="28"/>
              </w:rPr>
            </w:pPr>
            <w:r w:rsidRPr="008D6493">
              <w:rPr>
                <w:rFonts w:ascii="Calibri" w:hAnsi="Calibri"/>
                <w:sz w:val="28"/>
                <w:szCs w:val="28"/>
              </w:rPr>
              <w:t>1.</w:t>
            </w:r>
          </w:p>
        </w:tc>
      </w:tr>
      <w:tr w:rsidR="00DB723F" w:rsidRPr="008D6493" w14:paraId="5D0ADB19" w14:textId="77777777" w:rsidTr="004A4DF1">
        <w:tc>
          <w:tcPr>
            <w:tcW w:w="2972" w:type="dxa"/>
          </w:tcPr>
          <w:p w14:paraId="0B741535" w14:textId="576D6F03" w:rsidR="00DB723F" w:rsidRPr="008D6493" w:rsidRDefault="00DB723F" w:rsidP="00DB723F">
            <w:pPr>
              <w:rPr>
                <w:rFonts w:ascii="Calibri" w:hAnsi="Calibri"/>
                <w:sz w:val="28"/>
                <w:szCs w:val="28"/>
              </w:rPr>
            </w:pPr>
            <w:r w:rsidRPr="008D6493">
              <w:rPr>
                <w:rFonts w:ascii="Calibri" w:hAnsi="Calibri"/>
                <w:sz w:val="28"/>
                <w:szCs w:val="28"/>
              </w:rPr>
              <w:t>Vyučujúci</w:t>
            </w:r>
            <w:r w:rsidR="00D714B0" w:rsidRPr="008D6493">
              <w:rPr>
                <w:rFonts w:ascii="Calibri" w:hAnsi="Calibri"/>
                <w:sz w:val="28"/>
                <w:szCs w:val="28"/>
              </w:rPr>
              <w:t>, kontakt</w:t>
            </w:r>
          </w:p>
        </w:tc>
        <w:tc>
          <w:tcPr>
            <w:tcW w:w="12154" w:type="dxa"/>
          </w:tcPr>
          <w:p w14:paraId="43F5EE48" w14:textId="39473124" w:rsidR="00B301B5" w:rsidRPr="008D6493" w:rsidRDefault="00B301B5" w:rsidP="00B301B5">
            <w:pPr>
              <w:rPr>
                <w:rFonts w:ascii="Calibri" w:hAnsi="Calibri"/>
                <w:noProof w:val="0"/>
                <w:sz w:val="28"/>
                <w:szCs w:val="28"/>
              </w:rPr>
            </w:pPr>
            <w:r w:rsidRPr="008D6493">
              <w:rPr>
                <w:rFonts w:ascii="Calibri" w:hAnsi="Calibri"/>
                <w:sz w:val="28"/>
                <w:szCs w:val="28"/>
              </w:rPr>
              <w:t xml:space="preserve">prednášky: doc. RNDr. Viktor Bielik, PhD., </w:t>
            </w:r>
            <w:hyperlink r:id="rId7" w:history="1">
              <w:r w:rsidRPr="008D6493">
                <w:rPr>
                  <w:rStyle w:val="Hyperlink"/>
                  <w:rFonts w:ascii="Calibri" w:hAnsi="Calibri" w:cs="Open Sans"/>
                  <w:sz w:val="28"/>
                  <w:szCs w:val="28"/>
                  <w:shd w:val="clear" w:color="auto" w:fill="FFFFFF"/>
                </w:rPr>
                <w:t>viktor.bielik@uniba.sk</w:t>
              </w:r>
            </w:hyperlink>
            <w:r w:rsidRPr="008D6493">
              <w:rPr>
                <w:rFonts w:ascii="Calibri" w:hAnsi="Calibri" w:cs="Open San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7F5E3B03" w14:textId="617F7BC8" w:rsidR="00DB723F" w:rsidRPr="008D6493" w:rsidRDefault="00B301B5" w:rsidP="00B301B5">
            <w:pPr>
              <w:rPr>
                <w:rFonts w:ascii="Calibri" w:hAnsi="Calibri"/>
                <w:noProof w:val="0"/>
                <w:sz w:val="28"/>
                <w:szCs w:val="28"/>
              </w:rPr>
            </w:pPr>
            <w:r w:rsidRPr="008D6493">
              <w:rPr>
                <w:rFonts w:ascii="Calibri" w:hAnsi="Calibri"/>
                <w:sz w:val="28"/>
                <w:szCs w:val="28"/>
              </w:rPr>
              <w:t>semináre: Mgr. Alena Černáčková, PhD.</w:t>
            </w:r>
            <w:r w:rsidR="004642CD">
              <w:rPr>
                <w:rFonts w:ascii="Calibri" w:hAnsi="Calibri"/>
                <w:sz w:val="28"/>
                <w:szCs w:val="28"/>
              </w:rPr>
              <w:t xml:space="preserve">, </w:t>
            </w:r>
            <w:hyperlink r:id="rId8" w:history="1">
              <w:r w:rsidR="004642CD" w:rsidRPr="008D6493">
                <w:rPr>
                  <w:rStyle w:val="Hyperlink"/>
                  <w:rFonts w:ascii="Calibri" w:hAnsi="Calibri" w:cs="Open Sans"/>
                  <w:sz w:val="28"/>
                  <w:szCs w:val="28"/>
                  <w:shd w:val="clear" w:color="auto" w:fill="FFFFFF"/>
                </w:rPr>
                <w:t>alena.cernackova@uniba.sk</w:t>
              </w:r>
            </w:hyperlink>
            <w:r w:rsidRPr="008D6493">
              <w:rPr>
                <w:rFonts w:ascii="Calibri" w:hAnsi="Calibri"/>
                <w:sz w:val="28"/>
                <w:szCs w:val="28"/>
              </w:rPr>
              <w:t xml:space="preserve">; M.Sc. Ľudmila Oreská, PhD., </w:t>
            </w:r>
            <w:hyperlink r:id="rId9" w:history="1">
              <w:r w:rsidRPr="008D6493">
                <w:rPr>
                  <w:rStyle w:val="Hyperlink"/>
                  <w:rFonts w:ascii="Calibri" w:hAnsi="Calibri" w:cs="Open Sans"/>
                  <w:sz w:val="28"/>
                  <w:szCs w:val="28"/>
                  <w:shd w:val="clear" w:color="auto" w:fill="FFFFFF"/>
                </w:rPr>
                <w:t>ludmila.oreska@uniba.sk</w:t>
              </w:r>
            </w:hyperlink>
            <w:r w:rsidRPr="008D6493">
              <w:rPr>
                <w:rFonts w:ascii="Calibri" w:hAnsi="Calibri" w:cs="Open San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</w:tbl>
    <w:p w14:paraId="76709FD8" w14:textId="3093B7F7" w:rsidR="00DB723F" w:rsidRPr="008D6493" w:rsidRDefault="00DB723F" w:rsidP="00BF5EC9">
      <w:pPr>
        <w:spacing w:after="0" w:line="240" w:lineRule="auto"/>
        <w:rPr>
          <w:rFonts w:ascii="Calibri" w:hAnsi="Calibri"/>
          <w:b/>
          <w:bCs/>
          <w:sz w:val="28"/>
          <w:szCs w:val="28"/>
        </w:rPr>
      </w:pPr>
    </w:p>
    <w:p w14:paraId="1EDC04BC" w14:textId="77777777" w:rsidR="00323436" w:rsidRDefault="00DB723F" w:rsidP="00323436">
      <w:pPr>
        <w:spacing w:after="0" w:line="240" w:lineRule="auto"/>
        <w:rPr>
          <w:rFonts w:ascii="Calibri" w:hAnsi="Calibri"/>
          <w:b/>
          <w:bCs/>
          <w:sz w:val="28"/>
          <w:szCs w:val="28"/>
        </w:rPr>
      </w:pPr>
      <w:r w:rsidRPr="008D6493">
        <w:rPr>
          <w:rFonts w:ascii="Calibri" w:hAnsi="Calibri"/>
          <w:b/>
          <w:bCs/>
          <w:sz w:val="28"/>
          <w:szCs w:val="28"/>
        </w:rPr>
        <w:t>Na udelenie kreditov je študent povinný splniť:</w:t>
      </w:r>
    </w:p>
    <w:p w14:paraId="2FDD0A63" w14:textId="08997ED8" w:rsidR="00A0659C" w:rsidRPr="00323436" w:rsidRDefault="00A0659C" w:rsidP="00323436">
      <w:pPr>
        <w:pStyle w:val="ListParagraph"/>
        <w:numPr>
          <w:ilvl w:val="0"/>
          <w:numId w:val="11"/>
        </w:numPr>
        <w:spacing w:after="0" w:line="240" w:lineRule="auto"/>
        <w:rPr>
          <w:rFonts w:ascii="Calibri" w:hAnsi="Calibri"/>
          <w:b/>
          <w:bCs/>
          <w:sz w:val="28"/>
          <w:szCs w:val="28"/>
        </w:rPr>
      </w:pPr>
      <w:r w:rsidRPr="00323436">
        <w:rPr>
          <w:rFonts w:ascii="Calibri" w:hAnsi="Calibri"/>
          <w:sz w:val="28"/>
          <w:szCs w:val="28"/>
        </w:rPr>
        <w:t>Aktívna účasť študenta na kontaktnej/dištančnej výučb</w:t>
      </w:r>
      <w:r w:rsidR="00323436" w:rsidRPr="00323436">
        <w:rPr>
          <w:rFonts w:ascii="Calibri" w:hAnsi="Calibri"/>
          <w:sz w:val="28"/>
          <w:szCs w:val="28"/>
        </w:rPr>
        <w:t>e</w:t>
      </w:r>
      <w:r w:rsidR="0003590C">
        <w:rPr>
          <w:rFonts w:ascii="Calibri" w:hAnsi="Calibri"/>
          <w:sz w:val="28"/>
          <w:szCs w:val="28"/>
        </w:rPr>
        <w:t xml:space="preserve">. </w:t>
      </w:r>
    </w:p>
    <w:p w14:paraId="0166C845" w14:textId="309A8B9C" w:rsidR="00B301B5" w:rsidRPr="008D6493" w:rsidRDefault="00A0659C" w:rsidP="00B301B5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D</w:t>
      </w:r>
      <w:r w:rsidR="00B301B5" w:rsidRPr="008D6493">
        <w:rPr>
          <w:rFonts w:ascii="Calibri" w:hAnsi="Calibri"/>
          <w:sz w:val="28"/>
          <w:szCs w:val="28"/>
        </w:rPr>
        <w:t>va priebežné testy počas semestra (budú pozostávať z učiva preberaného na seminároch a spolu predstavujú 25% celkového hodnotenia) + ústne preskúšanie na svalových a kostných modeloch (25% celkového hodnotenia).</w:t>
      </w:r>
    </w:p>
    <w:p w14:paraId="5F1DB157" w14:textId="45E966CA" w:rsidR="00B301B5" w:rsidRDefault="00B301B5" w:rsidP="00B301B5">
      <w:pPr>
        <w:pStyle w:val="ListParagraph"/>
        <w:numPr>
          <w:ilvl w:val="0"/>
          <w:numId w:val="7"/>
        </w:numPr>
        <w:spacing w:after="0" w:line="240" w:lineRule="auto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Záverečný test</w:t>
      </w:r>
      <w:r w:rsidR="00A0659C">
        <w:rPr>
          <w:rFonts w:ascii="Calibri" w:hAnsi="Calibri"/>
          <w:sz w:val="28"/>
          <w:szCs w:val="28"/>
        </w:rPr>
        <w:t>, ktorý</w:t>
      </w:r>
      <w:r w:rsidRPr="008D6493">
        <w:rPr>
          <w:rFonts w:ascii="Calibri" w:hAnsi="Calibri"/>
          <w:sz w:val="28"/>
          <w:szCs w:val="28"/>
        </w:rPr>
        <w:t xml:space="preserve"> predstavuje 50 % celkového hodnotenia a bude pozostávať z učiva preberaného na prednáškach. Podmienkou účasti na skúške je splnenie všetkých priebežných podmienok hodnotenia predmetu. Na pripustenie ku skúške musí študent z každého uvedeného priebežného hodnotenia (súčet oboch priebežných testov aj ústne preskúšanie) získať aspoň 51%.</w:t>
      </w:r>
    </w:p>
    <w:p w14:paraId="7B9A9787" w14:textId="77777777" w:rsidR="003A1F75" w:rsidRPr="008D6493" w:rsidRDefault="003A1F75" w:rsidP="003A1F75">
      <w:pPr>
        <w:pStyle w:val="ListParagraph"/>
        <w:spacing w:after="0" w:line="240" w:lineRule="auto"/>
        <w:rPr>
          <w:rFonts w:ascii="Calibri" w:hAnsi="Calibri"/>
          <w:sz w:val="28"/>
          <w:szCs w:val="28"/>
        </w:rPr>
      </w:pPr>
    </w:p>
    <w:p w14:paraId="1129523E" w14:textId="77777777" w:rsidR="00B301B5" w:rsidRPr="008D6493" w:rsidRDefault="00B301B5" w:rsidP="00B301B5">
      <w:pPr>
        <w:spacing w:before="60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Celkové hodnotenie:</w:t>
      </w:r>
    </w:p>
    <w:p w14:paraId="7944C839" w14:textId="7459E0A6" w:rsidR="00B301B5" w:rsidRPr="008D6493" w:rsidRDefault="00B301B5" w:rsidP="00B301B5">
      <w:pPr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A – 100 až 91</w:t>
      </w:r>
      <w:r w:rsidR="00197609">
        <w:rPr>
          <w:rFonts w:ascii="Calibri" w:hAnsi="Calibri"/>
          <w:sz w:val="28"/>
          <w:szCs w:val="28"/>
        </w:rPr>
        <w:t>%</w:t>
      </w:r>
      <w:r w:rsidRPr="008D6493">
        <w:rPr>
          <w:rFonts w:ascii="Calibri" w:hAnsi="Calibri"/>
          <w:sz w:val="28"/>
          <w:szCs w:val="28"/>
        </w:rPr>
        <w:t>, B – 90 až 81</w:t>
      </w:r>
      <w:r w:rsidR="00197609">
        <w:rPr>
          <w:rFonts w:ascii="Calibri" w:hAnsi="Calibri"/>
          <w:sz w:val="28"/>
          <w:szCs w:val="28"/>
        </w:rPr>
        <w:t>%</w:t>
      </w:r>
      <w:r w:rsidRPr="008D6493">
        <w:rPr>
          <w:rFonts w:ascii="Calibri" w:hAnsi="Calibri"/>
          <w:sz w:val="28"/>
          <w:szCs w:val="28"/>
        </w:rPr>
        <w:t>, C – 80 až 71</w:t>
      </w:r>
      <w:r w:rsidR="00197609">
        <w:rPr>
          <w:rFonts w:ascii="Calibri" w:hAnsi="Calibri"/>
          <w:sz w:val="28"/>
          <w:szCs w:val="28"/>
        </w:rPr>
        <w:t>%</w:t>
      </w:r>
      <w:r w:rsidRPr="008D6493">
        <w:rPr>
          <w:rFonts w:ascii="Calibri" w:hAnsi="Calibri"/>
          <w:sz w:val="28"/>
          <w:szCs w:val="28"/>
        </w:rPr>
        <w:t>, D – 70 až 61</w:t>
      </w:r>
      <w:r w:rsidR="00197609">
        <w:rPr>
          <w:rFonts w:ascii="Calibri" w:hAnsi="Calibri"/>
          <w:sz w:val="28"/>
          <w:szCs w:val="28"/>
        </w:rPr>
        <w:t>%</w:t>
      </w:r>
      <w:r w:rsidRPr="008D6493">
        <w:rPr>
          <w:rFonts w:ascii="Calibri" w:hAnsi="Calibri"/>
          <w:sz w:val="28"/>
          <w:szCs w:val="28"/>
        </w:rPr>
        <w:t>, E – 60 až 51</w:t>
      </w:r>
      <w:r w:rsidR="00197609">
        <w:rPr>
          <w:rFonts w:ascii="Calibri" w:hAnsi="Calibri"/>
          <w:sz w:val="28"/>
          <w:szCs w:val="28"/>
        </w:rPr>
        <w:t>%</w:t>
      </w:r>
      <w:r w:rsidRPr="008D6493">
        <w:rPr>
          <w:rFonts w:ascii="Calibri" w:hAnsi="Calibri"/>
          <w:sz w:val="28"/>
          <w:szCs w:val="28"/>
        </w:rPr>
        <w:t>, FX – 50 a</w:t>
      </w:r>
      <w:r w:rsidR="00197609">
        <w:rPr>
          <w:rFonts w:ascii="Calibri" w:hAnsi="Calibri"/>
          <w:sz w:val="28"/>
          <w:szCs w:val="28"/>
        </w:rPr>
        <w:t> </w:t>
      </w:r>
      <w:r w:rsidRPr="008D6493">
        <w:rPr>
          <w:rFonts w:ascii="Calibri" w:hAnsi="Calibri"/>
          <w:sz w:val="28"/>
          <w:szCs w:val="28"/>
        </w:rPr>
        <w:t>menej</w:t>
      </w:r>
      <w:r w:rsidR="00197609">
        <w:rPr>
          <w:rFonts w:ascii="Calibri" w:hAnsi="Calibri"/>
          <w:sz w:val="28"/>
          <w:szCs w:val="28"/>
        </w:rPr>
        <w:t xml:space="preserve"> %</w:t>
      </w:r>
      <w:r w:rsidRPr="008D6493">
        <w:rPr>
          <w:rFonts w:ascii="Calibri" w:hAnsi="Calibri"/>
          <w:sz w:val="28"/>
          <w:szCs w:val="28"/>
        </w:rPr>
        <w:t>.</w:t>
      </w:r>
    </w:p>
    <w:p w14:paraId="5EC21948" w14:textId="77777777" w:rsidR="00B301B5" w:rsidRPr="008D6493" w:rsidRDefault="00B301B5" w:rsidP="00B301B5">
      <w:pPr>
        <w:spacing w:before="60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Kredity sa neudelia študentovi, ktorý:</w:t>
      </w:r>
    </w:p>
    <w:p w14:paraId="213D0459" w14:textId="77777777" w:rsidR="003A1F75" w:rsidRDefault="00B301B5" w:rsidP="00B301B5">
      <w:pPr>
        <w:pStyle w:val="ListParagraph"/>
        <w:numPr>
          <w:ilvl w:val="0"/>
          <w:numId w:val="8"/>
        </w:numPr>
        <w:spacing w:after="0" w:line="240" w:lineRule="auto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počas semestra nesplnil aspoň 80 % účasť na prednáškach a seminároch,</w:t>
      </w:r>
      <w:r w:rsidR="003A1F75">
        <w:rPr>
          <w:rFonts w:ascii="Calibri" w:hAnsi="Calibri"/>
          <w:sz w:val="28"/>
          <w:szCs w:val="28"/>
        </w:rPr>
        <w:t xml:space="preserve"> </w:t>
      </w:r>
    </w:p>
    <w:p w14:paraId="716835ED" w14:textId="2904339E" w:rsidR="00B301B5" w:rsidRPr="003A1F75" w:rsidRDefault="00B301B5" w:rsidP="00B301B5">
      <w:pPr>
        <w:pStyle w:val="ListParagraph"/>
        <w:numPr>
          <w:ilvl w:val="0"/>
          <w:numId w:val="8"/>
        </w:numPr>
        <w:spacing w:after="0" w:line="240" w:lineRule="auto"/>
        <w:rPr>
          <w:rFonts w:ascii="Calibri" w:hAnsi="Calibri"/>
          <w:sz w:val="28"/>
          <w:szCs w:val="28"/>
        </w:rPr>
      </w:pPr>
      <w:r w:rsidRPr="003A1F75">
        <w:rPr>
          <w:rFonts w:ascii="Calibri" w:hAnsi="Calibri"/>
          <w:sz w:val="28"/>
          <w:szCs w:val="28"/>
        </w:rPr>
        <w:t>zo záverečného testu nezískal 51% a viac.</w:t>
      </w:r>
    </w:p>
    <w:p w14:paraId="43700A07" w14:textId="77777777" w:rsidR="00B301B5" w:rsidRPr="008D6493" w:rsidRDefault="00B301B5" w:rsidP="0005475B">
      <w:pPr>
        <w:spacing w:after="0" w:line="240" w:lineRule="auto"/>
        <w:ind w:firstLine="360"/>
        <w:rPr>
          <w:rFonts w:ascii="Calibri" w:hAnsi="Calibri"/>
          <w:sz w:val="28"/>
          <w:szCs w:val="28"/>
        </w:rPr>
      </w:pPr>
    </w:p>
    <w:p w14:paraId="3C3D7666" w14:textId="77777777" w:rsidR="00B301B5" w:rsidRPr="008D6493" w:rsidRDefault="00B301B5" w:rsidP="00B301B5">
      <w:pPr>
        <w:jc w:val="both"/>
        <w:rPr>
          <w:rFonts w:ascii="Calibri" w:hAnsi="Calibri"/>
          <w:b/>
          <w:sz w:val="28"/>
          <w:szCs w:val="28"/>
        </w:rPr>
      </w:pPr>
      <w:r w:rsidRPr="008D6493">
        <w:rPr>
          <w:rFonts w:ascii="Calibri" w:hAnsi="Calibri"/>
          <w:b/>
          <w:sz w:val="28"/>
          <w:szCs w:val="28"/>
        </w:rPr>
        <w:t>Stručná osnova predmetu:</w:t>
      </w:r>
    </w:p>
    <w:p w14:paraId="1CF40850" w14:textId="77777777" w:rsidR="00B301B5" w:rsidRPr="008D6493" w:rsidRDefault="00B301B5" w:rsidP="00B301B5">
      <w:pPr>
        <w:jc w:val="both"/>
        <w:rPr>
          <w:rFonts w:ascii="Calibri" w:hAnsi="Calibri"/>
          <w:b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lastRenderedPageBreak/>
        <w:t>Anatomická stavba ľudského tela a zloženie tela na rôznych štrukturálnych úrovniach. Stavba, zloženie a funkcia buky. Základné typy tkanív. Anatómia a fyziológia srdcovo-cievneho, dýchacieho, tráviaceho a vylučovacieho systému. Anatomická stavba kostí a svalov chrbtice, voľnej hornej a dolnej končatiny, hrudníka a brucha.</w:t>
      </w:r>
    </w:p>
    <w:p w14:paraId="58EFB60F" w14:textId="77777777" w:rsidR="00B301B5" w:rsidRPr="008D6493" w:rsidRDefault="00B301B5" w:rsidP="00B301B5">
      <w:pPr>
        <w:jc w:val="both"/>
        <w:rPr>
          <w:rFonts w:ascii="Calibri" w:hAnsi="Calibri"/>
          <w:b/>
          <w:sz w:val="28"/>
          <w:szCs w:val="28"/>
        </w:rPr>
      </w:pPr>
    </w:p>
    <w:p w14:paraId="46E62C26" w14:textId="0D18FC74" w:rsidR="00B301B5" w:rsidRPr="008D6493" w:rsidRDefault="00B301B5" w:rsidP="00B301B5">
      <w:pPr>
        <w:jc w:val="both"/>
        <w:rPr>
          <w:rFonts w:ascii="Calibri" w:hAnsi="Calibri"/>
          <w:b/>
          <w:sz w:val="28"/>
          <w:szCs w:val="28"/>
        </w:rPr>
      </w:pPr>
      <w:r w:rsidRPr="008D6493">
        <w:rPr>
          <w:rFonts w:ascii="Calibri" w:hAnsi="Calibri"/>
          <w:b/>
          <w:sz w:val="28"/>
          <w:szCs w:val="28"/>
        </w:rPr>
        <w:t>Podrobná osnova predmetu:</w:t>
      </w:r>
    </w:p>
    <w:p w14:paraId="07387644" w14:textId="41882195" w:rsidR="00B301B5" w:rsidRPr="008D6493" w:rsidRDefault="00B301B5" w:rsidP="00B301B5">
      <w:pPr>
        <w:jc w:val="both"/>
        <w:rPr>
          <w:rFonts w:ascii="Calibri" w:hAnsi="Calibri"/>
          <w:b/>
          <w:sz w:val="28"/>
          <w:szCs w:val="28"/>
        </w:rPr>
      </w:pPr>
      <w:r w:rsidRPr="008D6493">
        <w:rPr>
          <w:rFonts w:ascii="Calibri" w:hAnsi="Calibri"/>
          <w:b/>
          <w:sz w:val="28"/>
          <w:szCs w:val="28"/>
        </w:rPr>
        <w:t>Prednášky</w:t>
      </w:r>
    </w:p>
    <w:p w14:paraId="438176C8" w14:textId="0A33DBFD" w:rsidR="00B301B5" w:rsidRPr="008D6493" w:rsidRDefault="00B301B5" w:rsidP="00B301B5">
      <w:pPr>
        <w:pStyle w:val="ListParagraph"/>
        <w:numPr>
          <w:ilvl w:val="0"/>
          <w:numId w:val="9"/>
        </w:numPr>
        <w:spacing w:before="60" w:after="0" w:line="240" w:lineRule="auto"/>
        <w:ind w:left="457" w:hanging="425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Úvod do štúdia biologických a lekárskych predmetov. Anatomická stavba ľudského tela a zloženie tela na rôznych štrukturálnych úrovniach (chemická, biochemická, bunkovo-tkanivová, anatomická)</w:t>
      </w:r>
      <w:r w:rsidR="001704D8">
        <w:rPr>
          <w:rFonts w:ascii="Calibri" w:hAnsi="Calibri"/>
          <w:sz w:val="28"/>
          <w:szCs w:val="28"/>
        </w:rPr>
        <w:t>.</w:t>
      </w:r>
    </w:p>
    <w:p w14:paraId="58B6B7B0" w14:textId="77777777" w:rsidR="00B301B5" w:rsidRPr="008D6493" w:rsidRDefault="00B301B5" w:rsidP="00B301B5">
      <w:pPr>
        <w:pStyle w:val="ListParagraph"/>
        <w:numPr>
          <w:ilvl w:val="0"/>
          <w:numId w:val="9"/>
        </w:numPr>
        <w:spacing w:before="60" w:after="0" w:line="240" w:lineRule="auto"/>
        <w:ind w:left="453" w:hanging="453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 xml:space="preserve">Stavba, zloženie a funkcia buky a jej organel. Základné typy tkanív. Vnútorné prostredie bunky a základné regulačné mechanizmy udržiavania vnútorného prostredia na úrovni bunky. </w:t>
      </w:r>
    </w:p>
    <w:p w14:paraId="74B1BD64" w14:textId="77777777" w:rsidR="00B301B5" w:rsidRPr="008D6493" w:rsidRDefault="00B301B5" w:rsidP="00B301B5">
      <w:pPr>
        <w:pStyle w:val="ListParagraph"/>
        <w:numPr>
          <w:ilvl w:val="0"/>
          <w:numId w:val="9"/>
        </w:numPr>
        <w:spacing w:before="60" w:after="0" w:line="240" w:lineRule="auto"/>
        <w:ind w:left="453" w:hanging="453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Výmena látok, transport a medzibunková komunikácia (telesné tekutiny, vnútorné prostredie, pH, koncentračný gradient, aktívny a pasívny transport, difúzia a osmóza, osmotický a onkotický tlak). Teória pokojového a akčného potenciálu.</w:t>
      </w:r>
    </w:p>
    <w:p w14:paraId="61BB9917" w14:textId="77777777" w:rsidR="00B301B5" w:rsidRPr="008D6493" w:rsidRDefault="00B301B5" w:rsidP="00B301B5">
      <w:pPr>
        <w:pStyle w:val="ListParagraph"/>
        <w:numPr>
          <w:ilvl w:val="0"/>
          <w:numId w:val="9"/>
        </w:numPr>
        <w:spacing w:before="60" w:after="0" w:line="240" w:lineRule="auto"/>
        <w:ind w:left="457" w:hanging="457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Anatómia a fyziológia srdcovo-cievneho systému. Srdce (vývrhové objemy, systola, diastola). Cirkulácia (veľký a malý krvný obeh, krvný tlak, pulz, prúdenie krvi vo vénach). Regulácia práce srdca. Vlastný prevodový systém srdca.</w:t>
      </w:r>
    </w:p>
    <w:p w14:paraId="74ECF99E" w14:textId="77777777" w:rsidR="00B301B5" w:rsidRPr="008D6493" w:rsidRDefault="00B301B5" w:rsidP="00B301B5">
      <w:pPr>
        <w:pStyle w:val="ListParagraph"/>
        <w:numPr>
          <w:ilvl w:val="0"/>
          <w:numId w:val="9"/>
        </w:numPr>
        <w:spacing w:before="60" w:after="0" w:line="240" w:lineRule="auto"/>
        <w:ind w:left="457" w:hanging="457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Fyziológia krvi. Funkcia a transportná kapacita krvi (termoregulácia, transport, obrana). Plazma, erytrocyty, leukocyty, trombocyty. Krvné skupiny. Zrážanie krvi.</w:t>
      </w:r>
    </w:p>
    <w:p w14:paraId="423122AD" w14:textId="77777777" w:rsidR="00B301B5" w:rsidRPr="008D6493" w:rsidRDefault="00B301B5" w:rsidP="00B301B5">
      <w:pPr>
        <w:pStyle w:val="ListParagraph"/>
        <w:numPr>
          <w:ilvl w:val="0"/>
          <w:numId w:val="9"/>
        </w:numPr>
        <w:spacing w:before="60" w:after="0" w:line="240" w:lineRule="auto"/>
        <w:ind w:left="457" w:hanging="457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1. priebežný test</w:t>
      </w:r>
    </w:p>
    <w:p w14:paraId="720C1F7C" w14:textId="77777777" w:rsidR="00B301B5" w:rsidRPr="008D6493" w:rsidRDefault="00B301B5" w:rsidP="00B301B5">
      <w:pPr>
        <w:pStyle w:val="ListParagraph"/>
        <w:numPr>
          <w:ilvl w:val="0"/>
          <w:numId w:val="9"/>
        </w:numPr>
        <w:spacing w:before="60" w:after="0" w:line="240" w:lineRule="auto"/>
        <w:ind w:left="457" w:hanging="457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Základná anatómia a fyziológia dýchacieho systému. Pľúcna ventilácia, mechanika dýchania.</w:t>
      </w:r>
    </w:p>
    <w:p w14:paraId="5620D3AD" w14:textId="77777777" w:rsidR="00B301B5" w:rsidRPr="008D6493" w:rsidRDefault="00B301B5" w:rsidP="00B301B5">
      <w:pPr>
        <w:pStyle w:val="ListParagraph"/>
        <w:numPr>
          <w:ilvl w:val="0"/>
          <w:numId w:val="9"/>
        </w:numPr>
        <w:spacing w:before="60" w:after="0" w:line="240" w:lineRule="auto"/>
        <w:ind w:left="457" w:hanging="457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Prenos a výmena dýchacích plynov. Transport a výmena plynov v pľúcach a v periférnych tkanivách. Mechanizmy ovplyvňujúce väzobnú kapacitu plynov, parciálne tlaky plynov, normoxia, hypoxia.</w:t>
      </w:r>
    </w:p>
    <w:p w14:paraId="446588F6" w14:textId="77777777" w:rsidR="00B301B5" w:rsidRPr="008D6493" w:rsidRDefault="00B301B5" w:rsidP="00B301B5">
      <w:pPr>
        <w:pStyle w:val="ListParagraph"/>
        <w:numPr>
          <w:ilvl w:val="0"/>
          <w:numId w:val="9"/>
        </w:numPr>
        <w:spacing w:before="60" w:after="0" w:line="240" w:lineRule="auto"/>
        <w:ind w:left="457" w:hanging="457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Základná anatómia a fyziológia tráviaceho systému. Funkcia jednotlivých tráviacich orgánov, presun potravy</w:t>
      </w:r>
    </w:p>
    <w:p w14:paraId="06441B8A" w14:textId="77777777" w:rsidR="00B301B5" w:rsidRPr="008D6493" w:rsidRDefault="00B301B5" w:rsidP="00B301B5">
      <w:pPr>
        <w:pStyle w:val="ListParagraph"/>
        <w:numPr>
          <w:ilvl w:val="0"/>
          <w:numId w:val="9"/>
        </w:numPr>
        <w:spacing w:before="60" w:after="0" w:line="240" w:lineRule="auto"/>
        <w:ind w:left="457" w:hanging="457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Trávenie a vstrebávanie živín v jednotlivých častiach tráviaceho systému. Biodostupnosť živín.</w:t>
      </w:r>
    </w:p>
    <w:p w14:paraId="7DE12C42" w14:textId="77777777" w:rsidR="00B301B5" w:rsidRPr="008D6493" w:rsidRDefault="00B301B5" w:rsidP="00B301B5">
      <w:pPr>
        <w:pStyle w:val="ListParagraph"/>
        <w:numPr>
          <w:ilvl w:val="0"/>
          <w:numId w:val="9"/>
        </w:numPr>
        <w:spacing w:before="60" w:after="0" w:line="240" w:lineRule="auto"/>
        <w:ind w:left="457" w:hanging="457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Metabolizmus, základné zdroje energie pre svalovú prácu. Mechanizmy obnovy energetických látok. Štepenie, syntéza a resyntéza ATP a CP. ATP a jeho funkcia v organizme. Energetické kontinuum.</w:t>
      </w:r>
    </w:p>
    <w:p w14:paraId="426BE9D8" w14:textId="77777777" w:rsidR="00B301B5" w:rsidRPr="008D6493" w:rsidRDefault="00B301B5" w:rsidP="00B301B5">
      <w:pPr>
        <w:pStyle w:val="ListParagraph"/>
        <w:numPr>
          <w:ilvl w:val="0"/>
          <w:numId w:val="9"/>
        </w:numPr>
        <w:spacing w:before="60" w:after="0" w:line="240" w:lineRule="auto"/>
        <w:ind w:left="457" w:hanging="457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Základná anatómia a fyziológia vylučovacieho systému. Oblička, Nefrón. Tvorba primárneho a sekundárneho moču.</w:t>
      </w:r>
    </w:p>
    <w:p w14:paraId="40F6E5B3" w14:textId="77777777" w:rsidR="00B301B5" w:rsidRPr="008D6493" w:rsidRDefault="00B301B5" w:rsidP="00B301B5">
      <w:pPr>
        <w:pStyle w:val="ListParagraph"/>
        <w:numPr>
          <w:ilvl w:val="0"/>
          <w:numId w:val="9"/>
        </w:numPr>
        <w:spacing w:before="60" w:after="0" w:line="240" w:lineRule="auto"/>
        <w:ind w:left="457" w:hanging="457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lastRenderedPageBreak/>
        <w:t>2. priebežný test</w:t>
      </w:r>
    </w:p>
    <w:p w14:paraId="5AD6E2E3" w14:textId="77777777" w:rsidR="00B301B5" w:rsidRPr="008D6493" w:rsidRDefault="00B301B5" w:rsidP="00B301B5">
      <w:pPr>
        <w:pStyle w:val="ListParagraph"/>
        <w:spacing w:before="60"/>
        <w:ind w:left="457"/>
        <w:contextualSpacing w:val="0"/>
        <w:jc w:val="both"/>
        <w:rPr>
          <w:rFonts w:ascii="Calibri" w:hAnsi="Calibri"/>
          <w:sz w:val="28"/>
          <w:szCs w:val="28"/>
        </w:rPr>
      </w:pPr>
    </w:p>
    <w:p w14:paraId="05655CDB" w14:textId="129998C7" w:rsidR="00B301B5" w:rsidRPr="008D6493" w:rsidRDefault="00B301B5" w:rsidP="00B301B5">
      <w:pPr>
        <w:jc w:val="both"/>
        <w:rPr>
          <w:rFonts w:ascii="Calibri" w:hAnsi="Calibri"/>
          <w:b/>
          <w:sz w:val="28"/>
          <w:szCs w:val="28"/>
        </w:rPr>
      </w:pPr>
      <w:r w:rsidRPr="008D6493">
        <w:rPr>
          <w:rFonts w:ascii="Calibri" w:hAnsi="Calibri"/>
          <w:b/>
          <w:sz w:val="28"/>
          <w:szCs w:val="28"/>
        </w:rPr>
        <w:t>Semináre a cvičenia</w:t>
      </w:r>
    </w:p>
    <w:p w14:paraId="1CA7FE86" w14:textId="77777777" w:rsidR="00B301B5" w:rsidRPr="008D6493" w:rsidRDefault="00B301B5" w:rsidP="00B301B5">
      <w:pPr>
        <w:pStyle w:val="ListParagraph"/>
        <w:numPr>
          <w:ilvl w:val="0"/>
          <w:numId w:val="10"/>
        </w:numPr>
        <w:spacing w:before="60" w:after="0" w:line="240" w:lineRule="auto"/>
        <w:ind w:left="457" w:hanging="425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Orientácia na ľudskom tele (základné roviny, osi a smery). Základná odborná (latinská) terminológia</w:t>
      </w:r>
    </w:p>
    <w:p w14:paraId="73DC2C28" w14:textId="77777777" w:rsidR="00B301B5" w:rsidRPr="008D6493" w:rsidRDefault="00B301B5" w:rsidP="00B301B5">
      <w:pPr>
        <w:pStyle w:val="ListParagraph"/>
        <w:numPr>
          <w:ilvl w:val="0"/>
          <w:numId w:val="10"/>
        </w:numPr>
        <w:spacing w:before="60" w:after="0" w:line="240" w:lineRule="auto"/>
        <w:ind w:left="457" w:hanging="425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 xml:space="preserve">Všeobecná osteológia a myológia. Delenie kostí, základná štruktúra kostí, ich rast, vlastnosti a funkcie. Spojenia kostí a typy kostných spojení. Všeobecná stavba kĺbu a kĺbových spojení. </w:t>
      </w:r>
    </w:p>
    <w:p w14:paraId="6096F467" w14:textId="77777777" w:rsidR="00B301B5" w:rsidRPr="008D6493" w:rsidRDefault="00B301B5" w:rsidP="00B301B5">
      <w:pPr>
        <w:pStyle w:val="ListParagraph"/>
        <w:numPr>
          <w:ilvl w:val="0"/>
          <w:numId w:val="10"/>
        </w:numPr>
        <w:spacing w:before="60" w:after="0" w:line="240" w:lineRule="auto"/>
        <w:ind w:left="457" w:hanging="425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Chrbtica, jej stavba, funkcia a spojenia na chrbtici. Zloženie a delenie stavcov. Medzistavcová platnička. Fyziologické zakrivenie chrbtice. Delenie svalov, ich základná štruktúra a funkcia.</w:t>
      </w:r>
    </w:p>
    <w:p w14:paraId="1A2AEB03" w14:textId="77777777" w:rsidR="00B301B5" w:rsidRPr="008D6493" w:rsidRDefault="00B301B5" w:rsidP="00B301B5">
      <w:pPr>
        <w:pStyle w:val="ListParagraph"/>
        <w:numPr>
          <w:ilvl w:val="0"/>
          <w:numId w:val="10"/>
        </w:numPr>
        <w:spacing w:before="60" w:after="0" w:line="240" w:lineRule="auto"/>
        <w:ind w:left="457" w:hanging="425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Vonkajšie prejavy srdcovej činnosti. Podstata, faktory, metódy merania tlaku krvi a srdcovej frekvencie.  Funkčné skúšky. Variabilita srdcovej frekvencie.</w:t>
      </w:r>
    </w:p>
    <w:p w14:paraId="7B869286" w14:textId="77777777" w:rsidR="00B301B5" w:rsidRPr="008D6493" w:rsidRDefault="00B301B5" w:rsidP="00B301B5">
      <w:pPr>
        <w:pStyle w:val="ListParagraph"/>
        <w:numPr>
          <w:ilvl w:val="0"/>
          <w:numId w:val="10"/>
        </w:numPr>
        <w:spacing w:before="60" w:after="0" w:line="240" w:lineRule="auto"/>
        <w:ind w:left="453" w:hanging="453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Základy mikroskopovania. Pozorovanie buniek a tkanív prostredníctvom natívnych a trvalých preparátov (krvné elementy, baktérie, kostné bunky a pod.)</w:t>
      </w:r>
    </w:p>
    <w:p w14:paraId="74B026F9" w14:textId="77777777" w:rsidR="00B301B5" w:rsidRPr="008D6493" w:rsidRDefault="00B301B5" w:rsidP="00B301B5">
      <w:pPr>
        <w:pStyle w:val="ListParagraph"/>
        <w:numPr>
          <w:ilvl w:val="0"/>
          <w:numId w:val="10"/>
        </w:numPr>
        <w:spacing w:before="60" w:after="0" w:line="240" w:lineRule="auto"/>
        <w:ind w:left="453" w:hanging="453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Kosti a svaly voľnej hornej končatiny a pletenca hornej končatiny z anatomického a fyziologického hľadiska.</w:t>
      </w:r>
    </w:p>
    <w:p w14:paraId="7C92C251" w14:textId="77777777" w:rsidR="00B301B5" w:rsidRPr="008D6493" w:rsidRDefault="00B301B5" w:rsidP="00B301B5">
      <w:pPr>
        <w:pStyle w:val="ListParagraph"/>
        <w:numPr>
          <w:ilvl w:val="0"/>
          <w:numId w:val="10"/>
        </w:numPr>
        <w:spacing w:before="60" w:after="0" w:line="240" w:lineRule="auto"/>
        <w:ind w:left="453" w:hanging="453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Kosti a svaly voľnej dolnej končatiny a pletenca dolnej končatiny z anatomického a fyziologického hľadiska.</w:t>
      </w:r>
    </w:p>
    <w:p w14:paraId="25359550" w14:textId="77777777" w:rsidR="00B301B5" w:rsidRPr="008D6493" w:rsidRDefault="00B301B5" w:rsidP="00B301B5">
      <w:pPr>
        <w:pStyle w:val="ListParagraph"/>
        <w:numPr>
          <w:ilvl w:val="0"/>
          <w:numId w:val="10"/>
        </w:numPr>
        <w:spacing w:before="60" w:after="0" w:line="240" w:lineRule="auto"/>
        <w:ind w:left="453" w:hanging="453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Statická a dynamická spirometria, vyšetrenie a praktické ukážky vitálnej kapacity pľúc, dychové objemy a prietoky.</w:t>
      </w:r>
    </w:p>
    <w:p w14:paraId="13ADE985" w14:textId="77777777" w:rsidR="00B301B5" w:rsidRPr="008D6493" w:rsidRDefault="00B301B5" w:rsidP="00B301B5">
      <w:pPr>
        <w:pStyle w:val="ListParagraph"/>
        <w:numPr>
          <w:ilvl w:val="0"/>
          <w:numId w:val="10"/>
        </w:numPr>
        <w:spacing w:before="60" w:after="0" w:line="240" w:lineRule="auto"/>
        <w:ind w:left="453" w:hanging="453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Základná anatomická stavba hrudníka. Orgány hrudníka. Anatómia kostí hrudníka a ich spojenia. Svaly hrudníka. Dýchacie cesty.</w:t>
      </w:r>
    </w:p>
    <w:p w14:paraId="11E4436C" w14:textId="77777777" w:rsidR="00B301B5" w:rsidRPr="008D6493" w:rsidRDefault="00B301B5" w:rsidP="00B301B5">
      <w:pPr>
        <w:pStyle w:val="ListParagraph"/>
        <w:numPr>
          <w:ilvl w:val="0"/>
          <w:numId w:val="10"/>
        </w:numPr>
        <w:spacing w:before="60" w:after="0" w:line="240" w:lineRule="auto"/>
        <w:ind w:left="453" w:hanging="453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Základná anatomická stavba svalov brucha a panvového dna.</w:t>
      </w:r>
    </w:p>
    <w:p w14:paraId="7CFB513C" w14:textId="77777777" w:rsidR="00B301B5" w:rsidRPr="008D6493" w:rsidRDefault="00B301B5" w:rsidP="00B301B5">
      <w:pPr>
        <w:pStyle w:val="ListParagraph"/>
        <w:numPr>
          <w:ilvl w:val="0"/>
          <w:numId w:val="10"/>
        </w:numPr>
        <w:spacing w:before="60" w:after="0" w:line="240" w:lineRule="auto"/>
        <w:ind w:left="453" w:hanging="453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Opakovanie kostí a svalov končatín a trupu.</w:t>
      </w:r>
    </w:p>
    <w:p w14:paraId="5068642E" w14:textId="77777777" w:rsidR="00B301B5" w:rsidRPr="008D6493" w:rsidRDefault="00B301B5" w:rsidP="00B301B5">
      <w:pPr>
        <w:pStyle w:val="ListParagraph"/>
        <w:numPr>
          <w:ilvl w:val="0"/>
          <w:numId w:val="10"/>
        </w:numPr>
        <w:spacing w:before="60" w:after="0" w:line="240" w:lineRule="auto"/>
        <w:ind w:left="453" w:hanging="453"/>
        <w:contextualSpacing w:val="0"/>
        <w:jc w:val="both"/>
        <w:rPr>
          <w:rFonts w:ascii="Calibri" w:hAnsi="Calibri"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Rozbor moču, osmolalita, špecifická váha moču, vplyv telesného zaťaženia a dehydratácie na činnosť vylučovacieho systému.</w:t>
      </w:r>
    </w:p>
    <w:p w14:paraId="1E7D2F04" w14:textId="4FD81C71" w:rsidR="00B301B5" w:rsidRPr="008D6493" w:rsidRDefault="00B301B5" w:rsidP="00B301B5">
      <w:pPr>
        <w:jc w:val="both"/>
        <w:rPr>
          <w:rFonts w:ascii="Calibri" w:hAnsi="Calibri"/>
          <w:b/>
          <w:sz w:val="28"/>
          <w:szCs w:val="28"/>
        </w:rPr>
      </w:pPr>
      <w:r w:rsidRPr="008D6493">
        <w:rPr>
          <w:rFonts w:ascii="Calibri" w:hAnsi="Calibri"/>
          <w:sz w:val="28"/>
          <w:szCs w:val="28"/>
        </w:rPr>
        <w:t>Ústne preskúšanie na svalových a kostných modeloch.</w:t>
      </w:r>
    </w:p>
    <w:p w14:paraId="6A5FB812" w14:textId="77777777" w:rsidR="00954F9C" w:rsidRDefault="00954F9C" w:rsidP="00954F9C">
      <w:pPr>
        <w:jc w:val="both"/>
        <w:rPr>
          <w:b/>
          <w:bCs/>
          <w:sz w:val="28"/>
          <w:szCs w:val="28"/>
        </w:rPr>
      </w:pPr>
    </w:p>
    <w:p w14:paraId="06CDD609" w14:textId="613932D3" w:rsidR="00954F9C" w:rsidRPr="00954F9C" w:rsidRDefault="00954F9C" w:rsidP="00954F9C">
      <w:pPr>
        <w:jc w:val="both"/>
        <w:rPr>
          <w:b/>
          <w:bCs/>
          <w:sz w:val="28"/>
          <w:szCs w:val="28"/>
        </w:rPr>
      </w:pPr>
      <w:r w:rsidRPr="00954F9C">
        <w:rPr>
          <w:b/>
          <w:bCs/>
          <w:sz w:val="28"/>
          <w:szCs w:val="28"/>
        </w:rPr>
        <w:t>Odporúčaná literatúra:</w:t>
      </w:r>
    </w:p>
    <w:p w14:paraId="2198C1FB" w14:textId="77777777" w:rsidR="00954F9C" w:rsidRPr="00954F9C" w:rsidRDefault="00954F9C" w:rsidP="00954F9C">
      <w:pPr>
        <w:spacing w:before="60"/>
        <w:jc w:val="both"/>
        <w:rPr>
          <w:sz w:val="28"/>
          <w:szCs w:val="28"/>
        </w:rPr>
      </w:pPr>
      <w:r w:rsidRPr="00954F9C">
        <w:rPr>
          <w:sz w:val="28"/>
          <w:szCs w:val="28"/>
        </w:rPr>
        <w:t>Čalkovská, A. Fyziológia človeka pre nelekárske študijné programy. Druhé vydane. Martin Osveta, ISBN: 9788080634551, s. 220, 2017.</w:t>
      </w:r>
    </w:p>
    <w:p w14:paraId="7C568230" w14:textId="77777777" w:rsidR="00954F9C" w:rsidRPr="00954F9C" w:rsidRDefault="00954F9C" w:rsidP="00954F9C">
      <w:pPr>
        <w:spacing w:before="60"/>
        <w:jc w:val="both"/>
        <w:rPr>
          <w:sz w:val="28"/>
          <w:szCs w:val="28"/>
        </w:rPr>
      </w:pPr>
      <w:r w:rsidRPr="00954F9C">
        <w:rPr>
          <w:sz w:val="28"/>
          <w:szCs w:val="28"/>
        </w:rPr>
        <w:t>Musilová, E: Anatómia, UK Bratislava,  ISBN: 978-80-972088-7-5, s.186, 2015.</w:t>
      </w:r>
    </w:p>
    <w:p w14:paraId="1DCD5AA2" w14:textId="77777777" w:rsidR="00954F9C" w:rsidRPr="00954F9C" w:rsidRDefault="00954F9C" w:rsidP="00954F9C">
      <w:pPr>
        <w:spacing w:before="60"/>
        <w:jc w:val="both"/>
        <w:rPr>
          <w:sz w:val="28"/>
          <w:szCs w:val="28"/>
        </w:rPr>
      </w:pPr>
      <w:r w:rsidRPr="00954F9C">
        <w:rPr>
          <w:sz w:val="28"/>
          <w:szCs w:val="28"/>
        </w:rPr>
        <w:lastRenderedPageBreak/>
        <w:t>Javorka, K: Lekárska  fyziológia:  Učebnica  pre  lekárske  fakulty.  Tretie,  prepracované  a  doplnené  vydanie.  Martin:  Osveta. ISBN 978-80-8063-291-5, s. 596, 2009.</w:t>
      </w:r>
    </w:p>
    <w:p w14:paraId="6A1AC19B" w14:textId="77777777" w:rsidR="00954F9C" w:rsidRPr="00954F9C" w:rsidRDefault="00954F9C" w:rsidP="00954F9C">
      <w:pPr>
        <w:spacing w:before="60"/>
        <w:jc w:val="both"/>
        <w:rPr>
          <w:sz w:val="28"/>
          <w:szCs w:val="28"/>
        </w:rPr>
      </w:pPr>
      <w:r w:rsidRPr="00954F9C">
        <w:rPr>
          <w:sz w:val="28"/>
          <w:szCs w:val="28"/>
        </w:rPr>
        <w:t>Ostatníková, D: Základy lekárskej fyziológie, UK Bratislava, ISBN: 978-80-223-4744-0, s.289, 2019.</w:t>
      </w:r>
    </w:p>
    <w:p w14:paraId="1F823F76" w14:textId="77777777" w:rsidR="00954F9C" w:rsidRPr="00954F9C" w:rsidRDefault="00954F9C" w:rsidP="00954F9C">
      <w:pPr>
        <w:spacing w:before="60"/>
        <w:jc w:val="both"/>
        <w:rPr>
          <w:sz w:val="28"/>
          <w:szCs w:val="28"/>
        </w:rPr>
      </w:pPr>
      <w:r w:rsidRPr="00954F9C">
        <w:rPr>
          <w:sz w:val="28"/>
          <w:szCs w:val="28"/>
        </w:rPr>
        <w:t>Lipková, J: Základy biochémie pre študentov FTVŠ, Bratislava. ICM Agency. ISBN: 978-80-89257-38-6, s. 94, 2011.</w:t>
      </w:r>
    </w:p>
    <w:p w14:paraId="4B8B7B8F" w14:textId="62C957C6" w:rsidR="00BD79D0" w:rsidRPr="00954F9C" w:rsidRDefault="00954F9C" w:rsidP="00954F9C">
      <w:pPr>
        <w:rPr>
          <w:rFonts w:ascii="Calibri" w:hAnsi="Calibri"/>
          <w:sz w:val="28"/>
          <w:szCs w:val="28"/>
        </w:rPr>
      </w:pPr>
      <w:r w:rsidRPr="00954F9C">
        <w:rPr>
          <w:sz w:val="28"/>
          <w:szCs w:val="28"/>
        </w:rPr>
        <w:t xml:space="preserve">Maclaren, D; Morton, J: Biochemistry for Sport and Exercise Metabolism. Liverpool: Wiley-Blackwell, </w:t>
      </w:r>
      <w:r w:rsidRPr="00954F9C">
        <w:rPr>
          <w:rStyle w:val="tojvnm2t"/>
          <w:sz w:val="28"/>
          <w:szCs w:val="28"/>
        </w:rPr>
        <w:t xml:space="preserve">ISBN: 978-0-470-09185-2, s. 264, </w:t>
      </w:r>
      <w:r w:rsidRPr="00954F9C">
        <w:rPr>
          <w:sz w:val="28"/>
          <w:szCs w:val="28"/>
        </w:rPr>
        <w:t>2012.</w:t>
      </w:r>
    </w:p>
    <w:sectPr w:rsidR="00BD79D0" w:rsidRPr="00954F9C" w:rsidSect="007652A0">
      <w:headerReference w:type="default" r:id="rId10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C38CDE" w14:textId="77777777" w:rsidR="003E7B25" w:rsidRDefault="003E7B25" w:rsidP="00B301B5">
      <w:pPr>
        <w:spacing w:after="0" w:line="240" w:lineRule="auto"/>
      </w:pPr>
      <w:r>
        <w:separator/>
      </w:r>
    </w:p>
  </w:endnote>
  <w:endnote w:type="continuationSeparator" w:id="0">
    <w:p w14:paraId="68395F14" w14:textId="77777777" w:rsidR="003E7B25" w:rsidRDefault="003E7B25" w:rsidP="00B30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553412" w14:textId="77777777" w:rsidR="003E7B25" w:rsidRDefault="003E7B25" w:rsidP="00B301B5">
      <w:pPr>
        <w:spacing w:after="0" w:line="240" w:lineRule="auto"/>
      </w:pPr>
      <w:r>
        <w:separator/>
      </w:r>
    </w:p>
  </w:footnote>
  <w:footnote w:type="continuationSeparator" w:id="0">
    <w:p w14:paraId="2E07CDA5" w14:textId="77777777" w:rsidR="003E7B25" w:rsidRDefault="003E7B25" w:rsidP="00B30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001598" w14:textId="367D61F5" w:rsidR="008D6493" w:rsidRDefault="008D64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95F69"/>
    <w:multiLevelType w:val="hybridMultilevel"/>
    <w:tmpl w:val="EEF4BF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9C5B47"/>
    <w:multiLevelType w:val="hybridMultilevel"/>
    <w:tmpl w:val="EBCC6E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A504A"/>
    <w:multiLevelType w:val="hybridMultilevel"/>
    <w:tmpl w:val="C91E26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25060"/>
    <w:multiLevelType w:val="hybridMultilevel"/>
    <w:tmpl w:val="8D3A917E"/>
    <w:lvl w:ilvl="0" w:tplc="57B65412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E66221"/>
    <w:multiLevelType w:val="hybridMultilevel"/>
    <w:tmpl w:val="992219F2"/>
    <w:lvl w:ilvl="0" w:tplc="D628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7101D"/>
    <w:multiLevelType w:val="hybridMultilevel"/>
    <w:tmpl w:val="AA54EF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A5D51"/>
    <w:multiLevelType w:val="hybridMultilevel"/>
    <w:tmpl w:val="DBD064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1826D8"/>
    <w:multiLevelType w:val="hybridMultilevel"/>
    <w:tmpl w:val="E5D22F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5A12DA"/>
    <w:multiLevelType w:val="hybridMultilevel"/>
    <w:tmpl w:val="EB28F9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AD302F"/>
    <w:multiLevelType w:val="hybridMultilevel"/>
    <w:tmpl w:val="52B45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D10F56"/>
    <w:multiLevelType w:val="hybridMultilevel"/>
    <w:tmpl w:val="DBD064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8"/>
  </w:num>
  <w:num w:numId="5">
    <w:abstractNumId w:val="0"/>
  </w:num>
  <w:num w:numId="6">
    <w:abstractNumId w:val="5"/>
  </w:num>
  <w:num w:numId="7">
    <w:abstractNumId w:val="7"/>
  </w:num>
  <w:num w:numId="8">
    <w:abstractNumId w:val="2"/>
  </w:num>
  <w:num w:numId="9">
    <w:abstractNumId w:val="6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A0"/>
    <w:rsid w:val="00030331"/>
    <w:rsid w:val="0003590C"/>
    <w:rsid w:val="0005475B"/>
    <w:rsid w:val="00132D4A"/>
    <w:rsid w:val="00134F88"/>
    <w:rsid w:val="001704D8"/>
    <w:rsid w:val="00197609"/>
    <w:rsid w:val="00323436"/>
    <w:rsid w:val="003A1F75"/>
    <w:rsid w:val="003E7B25"/>
    <w:rsid w:val="004642CD"/>
    <w:rsid w:val="004A4DF1"/>
    <w:rsid w:val="00753E31"/>
    <w:rsid w:val="007652A0"/>
    <w:rsid w:val="007A13A5"/>
    <w:rsid w:val="008D6493"/>
    <w:rsid w:val="00904A52"/>
    <w:rsid w:val="00954F9C"/>
    <w:rsid w:val="00A0659C"/>
    <w:rsid w:val="00A678E5"/>
    <w:rsid w:val="00B301B5"/>
    <w:rsid w:val="00B754A2"/>
    <w:rsid w:val="00BD79D0"/>
    <w:rsid w:val="00BF5EC9"/>
    <w:rsid w:val="00C749D8"/>
    <w:rsid w:val="00D714B0"/>
    <w:rsid w:val="00DB723F"/>
    <w:rsid w:val="00E157CF"/>
    <w:rsid w:val="00E6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5B161E"/>
  <w15:chartTrackingRefBased/>
  <w15:docId w15:val="{D76135A3-F1D4-429B-8E4C-25604DD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72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8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78E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3A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3A5"/>
    <w:rPr>
      <w:rFonts w:ascii="Times New Roman" w:hAnsi="Times New Roman" w:cs="Times New Roman"/>
      <w:noProof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301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1B5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301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1B5"/>
    <w:rPr>
      <w:noProof/>
    </w:rPr>
  </w:style>
  <w:style w:type="character" w:customStyle="1" w:styleId="tojvnm2t">
    <w:name w:val="tojvnm2t"/>
    <w:basedOn w:val="DefaultParagraphFont"/>
    <w:rsid w:val="00954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3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na.cernackova@uniba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iktor.bielik@uniba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udmila.oreska@unib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883</Words>
  <Characters>5036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 František</dc:creator>
  <cp:keywords/>
  <dc:description/>
  <cp:lastModifiedBy>Kubáňová Libuša</cp:lastModifiedBy>
  <cp:revision>15</cp:revision>
  <dcterms:created xsi:type="dcterms:W3CDTF">2022-09-08T22:19:00Z</dcterms:created>
  <dcterms:modified xsi:type="dcterms:W3CDTF">2022-09-19T08:42:00Z</dcterms:modified>
</cp:coreProperties>
</file>