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BAF25" w14:textId="3C251A59" w:rsidR="00030331" w:rsidRPr="00AF4CA3" w:rsidRDefault="00DB723F" w:rsidP="00DB723F">
      <w:pPr>
        <w:jc w:val="center"/>
        <w:rPr>
          <w:b/>
          <w:bCs/>
          <w:sz w:val="36"/>
          <w:szCs w:val="36"/>
        </w:rPr>
      </w:pPr>
      <w:r w:rsidRPr="00AF4CA3">
        <w:rPr>
          <w:b/>
          <w:bCs/>
          <w:sz w:val="36"/>
          <w:szCs w:val="36"/>
        </w:rPr>
        <w:t>Podmienky na udelenie kreditov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AF4CA3" w14:paraId="5F925DA8" w14:textId="77777777" w:rsidTr="004A4DF1">
        <w:tc>
          <w:tcPr>
            <w:tcW w:w="2972" w:type="dxa"/>
          </w:tcPr>
          <w:p w14:paraId="791BF00B" w14:textId="5BB3817D" w:rsidR="00DB723F" w:rsidRPr="00AF4CA3" w:rsidRDefault="00DB723F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5918615E" w:rsidR="00DB723F" w:rsidRPr="00AF4CA3" w:rsidRDefault="00AF4CA3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Biológia človeka II.</w:t>
            </w:r>
          </w:p>
        </w:tc>
      </w:tr>
      <w:tr w:rsidR="00DB723F" w:rsidRPr="00AF4CA3" w14:paraId="4164CD75" w14:textId="77777777" w:rsidTr="004A4DF1">
        <w:tc>
          <w:tcPr>
            <w:tcW w:w="2972" w:type="dxa"/>
          </w:tcPr>
          <w:p w14:paraId="0D1FE4C7" w14:textId="03ED7B9D" w:rsidR="00DB723F" w:rsidRPr="00AF4CA3" w:rsidRDefault="00DB723F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AF4CA3" w:rsidRDefault="00DB723F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Povinný predmet</w:t>
            </w:r>
          </w:p>
        </w:tc>
      </w:tr>
      <w:tr w:rsidR="00DB723F" w:rsidRPr="00AF4CA3" w14:paraId="307C155A" w14:textId="77777777" w:rsidTr="004A4DF1">
        <w:tc>
          <w:tcPr>
            <w:tcW w:w="2972" w:type="dxa"/>
          </w:tcPr>
          <w:p w14:paraId="532AEB87" w14:textId="0C17C922" w:rsidR="00DB723F" w:rsidRPr="00AF4CA3" w:rsidRDefault="00DB723F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458D1F36" w:rsidR="00DB723F" w:rsidRPr="00AF4CA3" w:rsidRDefault="00AF4CA3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6</w:t>
            </w:r>
          </w:p>
        </w:tc>
      </w:tr>
      <w:tr w:rsidR="00DB723F" w:rsidRPr="00AF4CA3" w14:paraId="59361943" w14:textId="77777777" w:rsidTr="004A4DF1">
        <w:tc>
          <w:tcPr>
            <w:tcW w:w="2972" w:type="dxa"/>
          </w:tcPr>
          <w:p w14:paraId="234BF01E" w14:textId="08139A13" w:rsidR="00DB723F" w:rsidRPr="00AF4CA3" w:rsidRDefault="00DB723F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7C104893" w:rsidR="00DB723F" w:rsidRPr="00AF4CA3" w:rsidRDefault="00AF4CA3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1</w:t>
            </w:r>
            <w:r w:rsidR="00DB723F" w:rsidRPr="00AF4CA3">
              <w:rPr>
                <w:sz w:val="28"/>
                <w:szCs w:val="28"/>
              </w:rPr>
              <w:t>.</w:t>
            </w:r>
          </w:p>
        </w:tc>
      </w:tr>
      <w:tr w:rsidR="00DB723F" w:rsidRPr="00AF4CA3" w14:paraId="5D0ADB19" w14:textId="77777777" w:rsidTr="004A4DF1">
        <w:tc>
          <w:tcPr>
            <w:tcW w:w="2972" w:type="dxa"/>
          </w:tcPr>
          <w:p w14:paraId="0B741535" w14:textId="576D6F03" w:rsidR="00DB723F" w:rsidRPr="00AF4CA3" w:rsidRDefault="00DB723F" w:rsidP="00DB723F">
            <w:pPr>
              <w:rPr>
                <w:sz w:val="28"/>
                <w:szCs w:val="28"/>
              </w:rPr>
            </w:pPr>
            <w:r w:rsidRPr="00AF4CA3">
              <w:rPr>
                <w:sz w:val="28"/>
                <w:szCs w:val="28"/>
              </w:rPr>
              <w:t>Vyučujúci</w:t>
            </w:r>
            <w:r w:rsidR="00D714B0" w:rsidRPr="00AF4CA3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04C5AC6" w14:textId="77777777" w:rsidR="00AF4CA3" w:rsidRPr="00AF4CA3" w:rsidRDefault="00AF4CA3" w:rsidP="00AF4CA3">
            <w:pPr>
              <w:rPr>
                <w:rFonts w:ascii="Calibri" w:hAnsi="Calibri"/>
                <w:noProof w:val="0"/>
                <w:sz w:val="28"/>
                <w:szCs w:val="28"/>
              </w:rPr>
            </w:pPr>
            <w:r w:rsidRPr="00AF4CA3">
              <w:rPr>
                <w:rFonts w:ascii="Calibri" w:hAnsi="Calibri"/>
                <w:sz w:val="28"/>
                <w:szCs w:val="28"/>
              </w:rPr>
              <w:t xml:space="preserve">prednášky: doc. RNDr. Viktor Bielik, PhD., </w:t>
            </w:r>
            <w:hyperlink r:id="rId5" w:history="1">
              <w:r w:rsidRPr="00AF4CA3">
                <w:rPr>
                  <w:rStyle w:val="Hyperlink"/>
                  <w:rFonts w:ascii="Calibri" w:hAnsi="Calibri" w:cs="Open Sans"/>
                  <w:sz w:val="28"/>
                  <w:szCs w:val="28"/>
                  <w:shd w:val="clear" w:color="auto" w:fill="FFFFFF"/>
                </w:rPr>
                <w:t>viktor.bielik@uniba.sk</w:t>
              </w:r>
            </w:hyperlink>
            <w:r w:rsidRPr="00AF4CA3">
              <w:rPr>
                <w:rFonts w:ascii="Calibri" w:hAnsi="Calibri" w:cs="Open 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7F5E3B03" w14:textId="17C83593" w:rsidR="00DB723F" w:rsidRPr="00AF4CA3" w:rsidRDefault="00AF4CA3" w:rsidP="00DB723F">
            <w:pPr>
              <w:rPr>
                <w:rFonts w:ascii="Calibri" w:hAnsi="Calibri"/>
                <w:noProof w:val="0"/>
                <w:sz w:val="28"/>
                <w:szCs w:val="28"/>
              </w:rPr>
            </w:pPr>
            <w:r w:rsidRPr="00AF4CA3">
              <w:rPr>
                <w:rFonts w:ascii="Calibri" w:hAnsi="Calibri"/>
                <w:sz w:val="28"/>
                <w:szCs w:val="28"/>
              </w:rPr>
              <w:t>semináre: Mgr. Alena Černáčková</w:t>
            </w:r>
            <w:r w:rsidR="003C6CE7">
              <w:rPr>
                <w:rFonts w:ascii="Calibri" w:hAnsi="Calibri"/>
                <w:sz w:val="28"/>
                <w:szCs w:val="28"/>
              </w:rPr>
              <w:t>,</w:t>
            </w:r>
            <w:r w:rsidRPr="00AF4CA3">
              <w:rPr>
                <w:rFonts w:ascii="Calibri" w:hAnsi="Calibri"/>
                <w:sz w:val="28"/>
                <w:szCs w:val="28"/>
              </w:rPr>
              <w:t xml:space="preserve"> PhD.</w:t>
            </w:r>
            <w:r w:rsidR="003C6CE7">
              <w:rPr>
                <w:rFonts w:ascii="Calibri" w:hAnsi="Calibri"/>
                <w:sz w:val="28"/>
                <w:szCs w:val="28"/>
              </w:rPr>
              <w:t xml:space="preserve">, </w:t>
            </w:r>
            <w:hyperlink r:id="rId6" w:history="1">
              <w:r w:rsidR="003C6CE7" w:rsidRPr="00AF4CA3">
                <w:rPr>
                  <w:rStyle w:val="Hyperlink"/>
                  <w:rFonts w:ascii="Calibri" w:hAnsi="Calibri" w:cs="Open Sans"/>
                  <w:sz w:val="28"/>
                  <w:szCs w:val="28"/>
                  <w:shd w:val="clear" w:color="auto" w:fill="FFFFFF"/>
                </w:rPr>
                <w:t>alena.cernackova@uniba.sk</w:t>
              </w:r>
            </w:hyperlink>
            <w:r w:rsidRPr="00AF4CA3">
              <w:rPr>
                <w:rFonts w:ascii="Calibri" w:hAnsi="Calibri"/>
                <w:sz w:val="28"/>
                <w:szCs w:val="28"/>
              </w:rPr>
              <w:t xml:space="preserve">; M.Sc. Ľudmila Oreská, PhD., </w:t>
            </w:r>
            <w:hyperlink r:id="rId7" w:history="1">
              <w:r w:rsidRPr="00AF4CA3">
                <w:rPr>
                  <w:rStyle w:val="Hyperlink"/>
                  <w:rFonts w:ascii="Calibri" w:hAnsi="Calibri" w:cs="Open Sans"/>
                  <w:sz w:val="28"/>
                  <w:szCs w:val="28"/>
                  <w:shd w:val="clear" w:color="auto" w:fill="FFFFFF"/>
                </w:rPr>
                <w:t>ludmila.oreska@uniba.sk</w:t>
              </w:r>
            </w:hyperlink>
            <w:r w:rsidRPr="00AF4CA3">
              <w:rPr>
                <w:rFonts w:ascii="Calibri" w:hAnsi="Calibri" w:cs="Open 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76709FD8" w14:textId="3093B7F7" w:rsidR="00DB723F" w:rsidRPr="00AF4CA3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AF4CA3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AF4CA3">
        <w:rPr>
          <w:b/>
          <w:bCs/>
          <w:sz w:val="28"/>
          <w:szCs w:val="28"/>
        </w:rPr>
        <w:t>Na udelenie kreditov je študent povinný splniť:</w:t>
      </w:r>
    </w:p>
    <w:p w14:paraId="1C62DBCD" w14:textId="11299700" w:rsidR="00E7088C" w:rsidRPr="00E7088C" w:rsidRDefault="00E7088C" w:rsidP="00E7088C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AF4CA3">
        <w:rPr>
          <w:sz w:val="28"/>
          <w:szCs w:val="28"/>
        </w:rPr>
        <w:t>Aktívna účasť študenta na kontaktnej/dištančnej výučbe.</w:t>
      </w:r>
    </w:p>
    <w:p w14:paraId="755FBEC6" w14:textId="6DF42356" w:rsidR="00AF4CA3" w:rsidRPr="00AF4CA3" w:rsidRDefault="00E7088C" w:rsidP="00AF4CA3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</w:t>
      </w:r>
      <w:r w:rsidR="00AF4CA3" w:rsidRPr="00AF4CA3">
        <w:rPr>
          <w:sz w:val="28"/>
          <w:szCs w:val="28"/>
        </w:rPr>
        <w:t>va priebežné testy počas semestra (budú pozostávať z učiva preberaného na seminároch a spolu predstavujú 30% celkového hodnotenia)</w:t>
      </w:r>
      <w:r w:rsidR="00474F5D">
        <w:rPr>
          <w:sz w:val="28"/>
          <w:szCs w:val="28"/>
        </w:rPr>
        <w:t>.</w:t>
      </w:r>
    </w:p>
    <w:p w14:paraId="7526B01B" w14:textId="12E25F95" w:rsidR="00AF4CA3" w:rsidRPr="00AF4CA3" w:rsidRDefault="00AF4CA3" w:rsidP="00AF4CA3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AF4CA3">
        <w:rPr>
          <w:sz w:val="28"/>
          <w:szCs w:val="28"/>
        </w:rPr>
        <w:t>Záverečný test</w:t>
      </w:r>
      <w:r w:rsidR="00E7088C">
        <w:rPr>
          <w:sz w:val="28"/>
          <w:szCs w:val="28"/>
        </w:rPr>
        <w:t>, ktorý</w:t>
      </w:r>
      <w:r w:rsidRPr="00AF4CA3">
        <w:rPr>
          <w:sz w:val="28"/>
          <w:szCs w:val="28"/>
        </w:rPr>
        <w:t xml:space="preserve"> predstavuje 70 % celkového hodnotenia a bude pozostávať z učiva preberaného na prednáškach aj seminároch. Podmienkou účasti na skúške je splnenie priebežných podmienok hodnotenia predmetu, pričom študent musí zo súčtu bodov z oboch priebežných testov získať aspoň 51% .</w:t>
      </w:r>
    </w:p>
    <w:p w14:paraId="6D6C8CDD" w14:textId="77777777" w:rsidR="00AF4CA3" w:rsidRPr="00AF4CA3" w:rsidRDefault="00AF4CA3" w:rsidP="00AF4CA3">
      <w:pPr>
        <w:spacing w:after="0" w:line="240" w:lineRule="auto"/>
        <w:rPr>
          <w:sz w:val="28"/>
          <w:szCs w:val="28"/>
        </w:rPr>
      </w:pPr>
    </w:p>
    <w:p w14:paraId="683EF783" w14:textId="77777777" w:rsidR="00AF4CA3" w:rsidRPr="00AF4CA3" w:rsidRDefault="00AF4CA3" w:rsidP="00AF4CA3">
      <w:pPr>
        <w:spacing w:before="60"/>
        <w:rPr>
          <w:sz w:val="28"/>
          <w:szCs w:val="28"/>
        </w:rPr>
      </w:pPr>
      <w:r w:rsidRPr="00AF4CA3">
        <w:rPr>
          <w:sz w:val="28"/>
          <w:szCs w:val="28"/>
        </w:rPr>
        <w:t>Celkové hodnotenie:</w:t>
      </w:r>
    </w:p>
    <w:p w14:paraId="52AA5898" w14:textId="5C904F8D" w:rsidR="00AF4CA3" w:rsidRPr="00AF4CA3" w:rsidRDefault="00AF4CA3" w:rsidP="00AF4CA3">
      <w:pPr>
        <w:rPr>
          <w:sz w:val="28"/>
          <w:szCs w:val="28"/>
        </w:rPr>
      </w:pPr>
      <w:r w:rsidRPr="00AF4CA3">
        <w:rPr>
          <w:sz w:val="28"/>
          <w:szCs w:val="28"/>
        </w:rPr>
        <w:t>A – 100 až 91</w:t>
      </w:r>
      <w:r w:rsidR="00C00B5D">
        <w:rPr>
          <w:sz w:val="28"/>
          <w:szCs w:val="28"/>
        </w:rPr>
        <w:t>%</w:t>
      </w:r>
      <w:r w:rsidRPr="00AF4CA3">
        <w:rPr>
          <w:sz w:val="28"/>
          <w:szCs w:val="28"/>
        </w:rPr>
        <w:t>, B – 90 až 81</w:t>
      </w:r>
      <w:r w:rsidR="00C00B5D">
        <w:rPr>
          <w:sz w:val="28"/>
          <w:szCs w:val="28"/>
        </w:rPr>
        <w:t>%</w:t>
      </w:r>
      <w:r w:rsidRPr="00AF4CA3">
        <w:rPr>
          <w:sz w:val="28"/>
          <w:szCs w:val="28"/>
        </w:rPr>
        <w:t>, C – 80 až 71</w:t>
      </w:r>
      <w:r w:rsidR="00C00B5D">
        <w:rPr>
          <w:sz w:val="28"/>
          <w:szCs w:val="28"/>
        </w:rPr>
        <w:t>%</w:t>
      </w:r>
      <w:r w:rsidRPr="00AF4CA3">
        <w:rPr>
          <w:sz w:val="28"/>
          <w:szCs w:val="28"/>
        </w:rPr>
        <w:t>, D – 70 až 61</w:t>
      </w:r>
      <w:r w:rsidR="00C00B5D">
        <w:rPr>
          <w:sz w:val="28"/>
          <w:szCs w:val="28"/>
        </w:rPr>
        <w:t>%</w:t>
      </w:r>
      <w:r w:rsidRPr="00AF4CA3">
        <w:rPr>
          <w:sz w:val="28"/>
          <w:szCs w:val="28"/>
        </w:rPr>
        <w:t>, E – 60 až 51</w:t>
      </w:r>
      <w:r w:rsidR="00C00B5D">
        <w:rPr>
          <w:sz w:val="28"/>
          <w:szCs w:val="28"/>
        </w:rPr>
        <w:t>%</w:t>
      </w:r>
      <w:r w:rsidRPr="00AF4CA3">
        <w:rPr>
          <w:sz w:val="28"/>
          <w:szCs w:val="28"/>
        </w:rPr>
        <w:t xml:space="preserve">, FX – 50 a menej </w:t>
      </w:r>
      <w:r w:rsidR="00C00B5D">
        <w:rPr>
          <w:sz w:val="28"/>
          <w:szCs w:val="28"/>
        </w:rPr>
        <w:t>%</w:t>
      </w:r>
      <w:r w:rsidRPr="00AF4CA3">
        <w:rPr>
          <w:sz w:val="28"/>
          <w:szCs w:val="28"/>
        </w:rPr>
        <w:t>.</w:t>
      </w:r>
    </w:p>
    <w:p w14:paraId="6C15B0A8" w14:textId="77777777" w:rsidR="00AF4CA3" w:rsidRPr="00AF4CA3" w:rsidRDefault="00AF4CA3" w:rsidP="00AF4CA3">
      <w:pPr>
        <w:spacing w:before="60"/>
        <w:rPr>
          <w:sz w:val="28"/>
          <w:szCs w:val="28"/>
        </w:rPr>
      </w:pPr>
      <w:r w:rsidRPr="00AF4CA3">
        <w:rPr>
          <w:sz w:val="28"/>
          <w:szCs w:val="28"/>
        </w:rPr>
        <w:t>Kredity sa neudelia študentovi, ktorý:</w:t>
      </w:r>
    </w:p>
    <w:p w14:paraId="17271D63" w14:textId="77777777" w:rsidR="00AF4CA3" w:rsidRPr="00AF4CA3" w:rsidRDefault="00AF4CA3" w:rsidP="00AF4CA3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AF4CA3">
        <w:rPr>
          <w:sz w:val="28"/>
          <w:szCs w:val="28"/>
        </w:rPr>
        <w:t>počas semestra nesplnil aspoň 80 % účasť na prednáškach a seminároch,</w:t>
      </w:r>
    </w:p>
    <w:p w14:paraId="4B8B7B8F" w14:textId="4A6634AF" w:rsidR="00BD79D0" w:rsidRPr="00AF4CA3" w:rsidRDefault="00AF4CA3" w:rsidP="00AF4CA3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AF4CA3">
        <w:rPr>
          <w:sz w:val="28"/>
          <w:szCs w:val="28"/>
        </w:rPr>
        <w:t>zo záverečného testu nezískal 51% a viac.</w:t>
      </w:r>
    </w:p>
    <w:p w14:paraId="5A6F92C1" w14:textId="77777777" w:rsidR="00AF4CA3" w:rsidRPr="00AF4CA3" w:rsidRDefault="00AF4CA3" w:rsidP="00AF4CA3">
      <w:pPr>
        <w:rPr>
          <w:b/>
        </w:rPr>
      </w:pPr>
    </w:p>
    <w:p w14:paraId="7AC1887B" w14:textId="77777777" w:rsidR="006C08FB" w:rsidRPr="006C08FB" w:rsidRDefault="006C08FB" w:rsidP="006C08FB">
      <w:pPr>
        <w:jc w:val="both"/>
        <w:rPr>
          <w:b/>
          <w:sz w:val="28"/>
          <w:szCs w:val="28"/>
        </w:rPr>
      </w:pPr>
      <w:r w:rsidRPr="006C08FB">
        <w:rPr>
          <w:b/>
          <w:sz w:val="28"/>
          <w:szCs w:val="28"/>
        </w:rPr>
        <w:t>Stručná osnova predmetu:</w:t>
      </w:r>
    </w:p>
    <w:p w14:paraId="6D9DC487" w14:textId="77777777" w:rsidR="006C08FB" w:rsidRPr="006C08FB" w:rsidRDefault="006C08FB" w:rsidP="006C08FB">
      <w:pPr>
        <w:jc w:val="both"/>
        <w:rPr>
          <w:sz w:val="28"/>
          <w:szCs w:val="28"/>
        </w:rPr>
      </w:pPr>
      <w:r w:rsidRPr="006C08FB">
        <w:rPr>
          <w:sz w:val="28"/>
          <w:szCs w:val="28"/>
        </w:rPr>
        <w:lastRenderedPageBreak/>
        <w:t>Základná anatómia a fyziológia centrálneho nervového systému. Periférny a autonómny nervový systém. Základná morfológia svalovej bunky a tkaniva. Svalová kontrakcia. Metabolizmus, základné zdroje energie a mechanizmy obnovy energetických látok. Endokrinný systém a tkanivové hormóny. Tvorba, výdaj a regulácia tepla v organizme. Zmyslové orgány. Základné bunky imunitnej odpovede.</w:t>
      </w:r>
    </w:p>
    <w:p w14:paraId="588953F8" w14:textId="77777777" w:rsidR="006C08FB" w:rsidRPr="006C08FB" w:rsidRDefault="006C08FB" w:rsidP="006C08FB">
      <w:pPr>
        <w:jc w:val="both"/>
        <w:rPr>
          <w:b/>
          <w:sz w:val="28"/>
          <w:szCs w:val="28"/>
        </w:rPr>
      </w:pPr>
    </w:p>
    <w:p w14:paraId="276744B6" w14:textId="77777777" w:rsidR="006C08FB" w:rsidRPr="006C08FB" w:rsidRDefault="006C08FB" w:rsidP="006C08FB">
      <w:pPr>
        <w:jc w:val="both"/>
        <w:rPr>
          <w:b/>
          <w:sz w:val="28"/>
          <w:szCs w:val="28"/>
        </w:rPr>
      </w:pPr>
      <w:r w:rsidRPr="006C08FB">
        <w:rPr>
          <w:b/>
          <w:sz w:val="28"/>
          <w:szCs w:val="28"/>
        </w:rPr>
        <w:t>Podrobná osnova predmetu:</w:t>
      </w:r>
    </w:p>
    <w:p w14:paraId="5752030D" w14:textId="77777777" w:rsidR="00AF4CA3" w:rsidRPr="00AF4CA3" w:rsidRDefault="00AF4CA3" w:rsidP="00AF4CA3">
      <w:pPr>
        <w:rPr>
          <w:sz w:val="28"/>
          <w:szCs w:val="28"/>
        </w:rPr>
      </w:pPr>
      <w:r w:rsidRPr="00AF4CA3">
        <w:rPr>
          <w:b/>
          <w:sz w:val="28"/>
          <w:szCs w:val="28"/>
        </w:rPr>
        <w:t>Prednášky</w:t>
      </w:r>
    </w:p>
    <w:p w14:paraId="004BE9DC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Elektrofyziológia. Pokojový a akčný potenciál. Synapsa. Motorická platnička.</w:t>
      </w:r>
    </w:p>
    <w:p w14:paraId="7B57521E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Základná anatómia a fyziológia centrálneho nervového systému. Motorický systém.</w:t>
      </w:r>
    </w:p>
    <w:p w14:paraId="5FF647C0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Periférny a autonómny nervový systém. Efekt autonómneho nervového systému na vybrané telesné systémy a orgány (trávenie a metabolizmus, kardiorespiračný systém). Vyššia nervová činnosť. Podmienený a nepodmienený reflex.</w:t>
      </w:r>
    </w:p>
    <w:p w14:paraId="062B8CE9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Základná morfológia svalovej bunky a tkaniva. Svalové vlákno a motorická jednotka ako základná morfologická a funkčná jednotka kostrových svalov. Sarkoméra, myofilamenty, svalová kontrakcia, funkcia a práca priečne pruhovaného svalu - izotonická a izometrická činnosť.</w:t>
      </w:r>
    </w:p>
    <w:p w14:paraId="4FC9794C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Metabolizmus, základné zdroje energie a mechanizmy obnovy energetických látok. Sacharidy, aeróbna a anaeróbna glykolýza, glukoneogenéza.</w:t>
      </w:r>
    </w:p>
    <w:p w14:paraId="7F3F2A5A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Metabolizmus, základné zdroje energie a mechanizmy obnovy energetických látok. Charakteristika a metabolizmus proteínov a aminokyselín. Charakteristika a metabolizmus lipidov a vyšších karboxylových kyselín (lipolýza, β-oxidácia, ketolátky).</w:t>
      </w:r>
    </w:p>
    <w:p w14:paraId="3548C56B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1. priebežný test</w:t>
      </w:r>
    </w:p>
    <w:p w14:paraId="43CA6420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Endokrinný systém. Charakteristika žliaz s vnútornou sekréciou a hormónov, ktoré vylučujú.</w:t>
      </w:r>
    </w:p>
    <w:p w14:paraId="466FF9B0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Charakteristika, funkcia a regulácia tkanivových hormónov, rastových faktorov a  signálnych molekúl. Osi: sval-mozog, črevo-mozog.</w:t>
      </w:r>
    </w:p>
    <w:p w14:paraId="50CABB83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Tvorba, výdaj a regulácia tepla v organizme. Svalová triaška, hnedé a biele tukové tkanivo.</w:t>
      </w:r>
    </w:p>
    <w:p w14:paraId="0C8883FC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Zmyslové orgány. Fotoreceptory, chemoreceptory, mechanoreceptory, intero-extero-proprioceptory. Zmysly - zrak, sluch, chuť, čuch, hmat.</w:t>
      </w:r>
    </w:p>
    <w:p w14:paraId="6C3C0388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lastRenderedPageBreak/>
        <w:t>Anatómia a fyziológia imunitného systému. Vrodená a získaná imunita, bunky imunitného systému. Lymfatický systém - lymfoidné orgány, cievy a lymfa.</w:t>
      </w:r>
    </w:p>
    <w:p w14:paraId="55605FF5" w14:textId="77777777" w:rsidR="00AF4CA3" w:rsidRPr="00AF4CA3" w:rsidRDefault="00AF4CA3" w:rsidP="00AF4CA3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2. priebežný test</w:t>
      </w:r>
    </w:p>
    <w:p w14:paraId="6D4E150A" w14:textId="77777777" w:rsidR="00AF4CA3" w:rsidRPr="00AF4CA3" w:rsidRDefault="00AF4CA3" w:rsidP="00AF4CA3">
      <w:pPr>
        <w:pStyle w:val="ListParagraph"/>
        <w:spacing w:before="60"/>
        <w:ind w:left="457"/>
        <w:contextualSpacing w:val="0"/>
        <w:rPr>
          <w:sz w:val="28"/>
          <w:szCs w:val="28"/>
        </w:rPr>
      </w:pPr>
    </w:p>
    <w:p w14:paraId="375737DE" w14:textId="71435384" w:rsidR="00AF4CA3" w:rsidRPr="00AF4CA3" w:rsidRDefault="00AF4CA3" w:rsidP="00AF4CA3">
      <w:pPr>
        <w:pStyle w:val="ListParagraph"/>
        <w:spacing w:before="60"/>
        <w:ind w:left="453" w:hanging="421"/>
        <w:contextualSpacing w:val="0"/>
        <w:rPr>
          <w:b/>
          <w:sz w:val="28"/>
          <w:szCs w:val="28"/>
        </w:rPr>
      </w:pPr>
      <w:r w:rsidRPr="00AF4CA3">
        <w:rPr>
          <w:b/>
          <w:sz w:val="28"/>
          <w:szCs w:val="28"/>
        </w:rPr>
        <w:t>Semináre</w:t>
      </w:r>
    </w:p>
    <w:p w14:paraId="280721CE" w14:textId="77777777" w:rsidR="00AF4CA3" w:rsidRPr="00AF4CA3" w:rsidRDefault="00AF4CA3" w:rsidP="00AF4CA3">
      <w:pPr>
        <w:pStyle w:val="ListParagraph"/>
        <w:numPr>
          <w:ilvl w:val="0"/>
          <w:numId w:val="10"/>
        </w:numPr>
        <w:spacing w:after="0" w:line="240" w:lineRule="auto"/>
        <w:ind w:left="457" w:hanging="425"/>
        <w:rPr>
          <w:sz w:val="28"/>
          <w:szCs w:val="28"/>
        </w:rPr>
      </w:pPr>
      <w:r w:rsidRPr="00AF4CA3">
        <w:rPr>
          <w:sz w:val="28"/>
          <w:szCs w:val="28"/>
        </w:rPr>
        <w:t>Opakovanie štruktúry a stavby pohybového aparátu človeka. Svaly hlavy, krku, trupu a končatín.</w:t>
      </w:r>
    </w:p>
    <w:p w14:paraId="34A8B3BA" w14:textId="2BD936B3" w:rsidR="00AF4CA3" w:rsidRPr="00AF4CA3" w:rsidRDefault="00AF4CA3" w:rsidP="00AF4CA3">
      <w:pPr>
        <w:pStyle w:val="ListParagraph"/>
        <w:numPr>
          <w:ilvl w:val="0"/>
          <w:numId w:val="10"/>
        </w:numPr>
        <w:spacing w:after="0" w:line="240" w:lineRule="auto"/>
        <w:ind w:left="457" w:hanging="425"/>
        <w:rPr>
          <w:sz w:val="28"/>
          <w:szCs w:val="28"/>
        </w:rPr>
      </w:pPr>
      <w:r w:rsidRPr="00AF4CA3">
        <w:rPr>
          <w:sz w:val="28"/>
          <w:szCs w:val="28"/>
        </w:rPr>
        <w:t>EKG, EMG, ukážky  stavby a funkcie nervovo svalovej platničky</w:t>
      </w:r>
      <w:r w:rsidR="0051380F">
        <w:rPr>
          <w:sz w:val="28"/>
          <w:szCs w:val="28"/>
        </w:rPr>
        <w:t>.</w:t>
      </w:r>
    </w:p>
    <w:p w14:paraId="4703C2E2" w14:textId="77777777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 xml:space="preserve">Miechové reflexy. Reflexný oblúk. Reakčný čas. Vyšetrenie reflexov u človeka, koordinačný výkon miechy, dynamický stereotyp. </w:t>
      </w:r>
    </w:p>
    <w:p w14:paraId="7658298C" w14:textId="7600BFD6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Ultraštruktúra a typy svalového tkaniva. Detailná štruktúra priečne pruhovanej svaloviny kostrových svalov. Praktické ukážky svalových tkanív  pod mikroskopom</w:t>
      </w:r>
      <w:r w:rsidR="00AE6AA1">
        <w:rPr>
          <w:sz w:val="28"/>
          <w:szCs w:val="28"/>
        </w:rPr>
        <w:t>.</w:t>
      </w:r>
    </w:p>
    <w:p w14:paraId="2F3ECAB5" w14:textId="77777777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Regulácia hladiny glukózy v krvi, Pentózový cyklus, praktické meranie glykémie.</w:t>
      </w:r>
    </w:p>
    <w:p w14:paraId="16F35C7F" w14:textId="77777777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Glukoneogenéza, Coriho cyklus, laktát, praktické merania laktátu z kapilárnej krvi.</w:t>
      </w:r>
    </w:p>
    <w:p w14:paraId="11302658" w14:textId="77777777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Opakovanie – metabolizmus</w:t>
      </w:r>
    </w:p>
    <w:p w14:paraId="7F3BA5E7" w14:textId="15CC6882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Hormóny pohlavných žliaz, androgény, estrogény z biochemického a fyziologického hľadiska</w:t>
      </w:r>
      <w:r w:rsidR="00AE6AA1">
        <w:rPr>
          <w:sz w:val="28"/>
          <w:szCs w:val="28"/>
        </w:rPr>
        <w:t>.</w:t>
      </w:r>
    </w:p>
    <w:p w14:paraId="2E588801" w14:textId="77777777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Bazálny a pokojový metabolizmus (PM). Priame a nepriame metódy na určenie energetického výdaja v pokoji. RQ, VO</w:t>
      </w:r>
      <w:r w:rsidRPr="00AF4CA3">
        <w:rPr>
          <w:sz w:val="28"/>
          <w:szCs w:val="28"/>
          <w:vertAlign w:val="subscript"/>
        </w:rPr>
        <w:t>2</w:t>
      </w:r>
      <w:r w:rsidRPr="00AF4CA3">
        <w:rPr>
          <w:sz w:val="28"/>
          <w:szCs w:val="28"/>
        </w:rPr>
        <w:t>, CO</w:t>
      </w:r>
      <w:r w:rsidRPr="00AF4CA3">
        <w:rPr>
          <w:sz w:val="28"/>
          <w:szCs w:val="28"/>
          <w:vertAlign w:val="subscript"/>
        </w:rPr>
        <w:t>2</w:t>
      </w:r>
      <w:r w:rsidRPr="00AF4CA3">
        <w:rPr>
          <w:sz w:val="28"/>
          <w:szCs w:val="28"/>
        </w:rPr>
        <w:t>. Faktory vplývajúce na PM. Meranie telesnej teploty.</w:t>
      </w:r>
    </w:p>
    <w:p w14:paraId="15665639" w14:textId="5DD20F21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Mikroskopické ukážky tukového tkaniva, funkcie tukového tkaniva</w:t>
      </w:r>
      <w:r w:rsidR="00AE6AA1">
        <w:rPr>
          <w:sz w:val="28"/>
          <w:szCs w:val="28"/>
        </w:rPr>
        <w:t>.</w:t>
      </w:r>
    </w:p>
    <w:p w14:paraId="1206839B" w14:textId="5E9B3EE7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Zmyslové orgány: zrak, sluch, chuť, čuch, hmat - praktické ukážky (očné klamy, vyšetrenie zrakovej ostrosti)</w:t>
      </w:r>
      <w:r w:rsidR="00AE6AA1">
        <w:rPr>
          <w:sz w:val="28"/>
          <w:szCs w:val="28"/>
        </w:rPr>
        <w:t>.</w:t>
      </w:r>
    </w:p>
    <w:p w14:paraId="1EF37BF2" w14:textId="04C8FC90" w:rsidR="00AF4CA3" w:rsidRPr="00AF4CA3" w:rsidRDefault="00AF4CA3" w:rsidP="00AF4CA3">
      <w:pPr>
        <w:pStyle w:val="ListParagraph"/>
        <w:numPr>
          <w:ilvl w:val="0"/>
          <w:numId w:val="10"/>
        </w:numPr>
        <w:spacing w:before="60" w:after="0" w:line="240" w:lineRule="auto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Základné bunky imunitnej odpovede, základné protilátky, alergia, sledovanie buniek pod mikroskopom</w:t>
      </w:r>
      <w:r w:rsidR="00AE6AA1">
        <w:rPr>
          <w:sz w:val="28"/>
          <w:szCs w:val="28"/>
        </w:rPr>
        <w:t>.</w:t>
      </w:r>
      <w:r w:rsidRPr="00AF4CA3">
        <w:rPr>
          <w:sz w:val="28"/>
          <w:szCs w:val="28"/>
        </w:rPr>
        <w:t xml:space="preserve"> </w:t>
      </w:r>
    </w:p>
    <w:p w14:paraId="7DE6B3F3" w14:textId="345365F2" w:rsidR="00AF4CA3" w:rsidRPr="00AF4CA3" w:rsidRDefault="00AF4CA3" w:rsidP="00AF4CA3">
      <w:pPr>
        <w:pStyle w:val="ListParagraph"/>
        <w:numPr>
          <w:ilvl w:val="0"/>
          <w:numId w:val="10"/>
        </w:numPr>
        <w:spacing w:before="60"/>
        <w:ind w:left="457" w:hanging="457"/>
        <w:contextualSpacing w:val="0"/>
        <w:rPr>
          <w:sz w:val="28"/>
          <w:szCs w:val="28"/>
        </w:rPr>
      </w:pPr>
      <w:r w:rsidRPr="00AF4CA3">
        <w:rPr>
          <w:sz w:val="28"/>
          <w:szCs w:val="28"/>
        </w:rPr>
        <w:t>Opakovanie a kontrola zápočtových požiadaviek</w:t>
      </w:r>
    </w:p>
    <w:p w14:paraId="4DFFFA2F" w14:textId="555E3E3E" w:rsidR="00AF4CA3" w:rsidRDefault="00AF4CA3" w:rsidP="00AF4CA3">
      <w:pPr>
        <w:spacing w:after="0" w:line="240" w:lineRule="auto"/>
        <w:rPr>
          <w:sz w:val="28"/>
          <w:szCs w:val="28"/>
        </w:rPr>
      </w:pPr>
    </w:p>
    <w:p w14:paraId="175C8DCE" w14:textId="77777777" w:rsidR="008926EF" w:rsidRPr="008926EF" w:rsidRDefault="008926EF" w:rsidP="008926EF">
      <w:pPr>
        <w:jc w:val="both"/>
        <w:rPr>
          <w:b/>
          <w:bCs/>
          <w:sz w:val="28"/>
          <w:szCs w:val="28"/>
        </w:rPr>
      </w:pPr>
      <w:r w:rsidRPr="008926EF">
        <w:rPr>
          <w:b/>
          <w:bCs/>
          <w:sz w:val="28"/>
          <w:szCs w:val="28"/>
        </w:rPr>
        <w:t>Odporúčaná literatúra:</w:t>
      </w:r>
    </w:p>
    <w:p w14:paraId="54B8E1A4" w14:textId="77777777" w:rsidR="008926EF" w:rsidRPr="008926EF" w:rsidRDefault="008926EF" w:rsidP="008926EF">
      <w:pPr>
        <w:spacing w:before="60"/>
        <w:jc w:val="both"/>
        <w:rPr>
          <w:sz w:val="28"/>
          <w:szCs w:val="28"/>
        </w:rPr>
      </w:pPr>
      <w:r w:rsidRPr="008926EF">
        <w:rPr>
          <w:sz w:val="28"/>
          <w:szCs w:val="28"/>
        </w:rPr>
        <w:t>Čalkovská, A. Fyziológia človeka pre nelekárske študijné programy. Druhé vydane. Martin Osveta, ISBN: 9788080634551, s. 220, 2017.</w:t>
      </w:r>
    </w:p>
    <w:p w14:paraId="53B52732" w14:textId="77777777" w:rsidR="008926EF" w:rsidRPr="008926EF" w:rsidRDefault="008926EF" w:rsidP="008926EF">
      <w:pPr>
        <w:spacing w:before="60"/>
        <w:jc w:val="both"/>
        <w:rPr>
          <w:sz w:val="28"/>
          <w:szCs w:val="28"/>
        </w:rPr>
      </w:pPr>
      <w:r w:rsidRPr="008926EF">
        <w:rPr>
          <w:sz w:val="28"/>
          <w:szCs w:val="28"/>
        </w:rPr>
        <w:t>Musilová, E: Anatómia, UK Bratislava,  ISBN: 978-80-972088-7-5, s.186, 2015.</w:t>
      </w:r>
    </w:p>
    <w:p w14:paraId="67AD821A" w14:textId="77777777" w:rsidR="008926EF" w:rsidRPr="008926EF" w:rsidRDefault="008926EF" w:rsidP="008926EF">
      <w:pPr>
        <w:spacing w:before="60"/>
        <w:jc w:val="both"/>
        <w:rPr>
          <w:sz w:val="28"/>
          <w:szCs w:val="28"/>
        </w:rPr>
      </w:pPr>
      <w:r w:rsidRPr="008926EF">
        <w:rPr>
          <w:sz w:val="28"/>
          <w:szCs w:val="28"/>
        </w:rPr>
        <w:lastRenderedPageBreak/>
        <w:t>Javorka, K: Lekárska  fyziológia:  Učebnica  pre  lekárske  fakulty.  Tretie,  prepracované  a  doplnené  vydanie.  Martin:  Osveta. ISBN 978-80-8063-291-5, s. 596, 2009.</w:t>
      </w:r>
    </w:p>
    <w:p w14:paraId="06651097" w14:textId="77777777" w:rsidR="008926EF" w:rsidRPr="008926EF" w:rsidRDefault="008926EF" w:rsidP="008926EF">
      <w:pPr>
        <w:spacing w:before="60"/>
        <w:jc w:val="both"/>
        <w:rPr>
          <w:sz w:val="28"/>
          <w:szCs w:val="28"/>
        </w:rPr>
      </w:pPr>
      <w:r w:rsidRPr="008926EF">
        <w:rPr>
          <w:sz w:val="28"/>
          <w:szCs w:val="28"/>
        </w:rPr>
        <w:t>Ostatníková, D: Základy lekárskej fyziológie, UK Bratislava, ISBN: 978-80-223-4744-0, s.289, 2019.</w:t>
      </w:r>
    </w:p>
    <w:p w14:paraId="6E3A2EF8" w14:textId="77777777" w:rsidR="008926EF" w:rsidRPr="008926EF" w:rsidRDefault="008926EF" w:rsidP="008926EF">
      <w:pPr>
        <w:spacing w:before="60"/>
        <w:jc w:val="both"/>
        <w:rPr>
          <w:sz w:val="28"/>
          <w:szCs w:val="28"/>
        </w:rPr>
      </w:pPr>
      <w:r w:rsidRPr="008926EF">
        <w:rPr>
          <w:sz w:val="28"/>
          <w:szCs w:val="28"/>
        </w:rPr>
        <w:t>Lipková, J: Základy biochémie pre študentov FTVŠ, Bratislava. ICM Agency. ISBN: 978-80-89257-38-6, s. 94, 2011.</w:t>
      </w:r>
    </w:p>
    <w:p w14:paraId="1B86A45F" w14:textId="4928D030" w:rsidR="008926EF" w:rsidRPr="008926EF" w:rsidRDefault="008926EF" w:rsidP="008926EF">
      <w:pPr>
        <w:spacing w:after="0" w:line="240" w:lineRule="auto"/>
        <w:rPr>
          <w:sz w:val="28"/>
          <w:szCs w:val="28"/>
        </w:rPr>
      </w:pPr>
      <w:r w:rsidRPr="008926EF">
        <w:rPr>
          <w:sz w:val="28"/>
          <w:szCs w:val="28"/>
        </w:rPr>
        <w:t xml:space="preserve">Maclaren, D; Morton, J: Biochemistry for Sport and Exercise Metabolism. Liverpool: Wiley-Blackwell, </w:t>
      </w:r>
      <w:r w:rsidRPr="008926EF">
        <w:rPr>
          <w:rStyle w:val="tojvnm2t"/>
          <w:sz w:val="28"/>
          <w:szCs w:val="28"/>
        </w:rPr>
        <w:t xml:space="preserve">ISBN: 978-0-470-09185-2, s. 264, </w:t>
      </w:r>
      <w:r w:rsidRPr="008926EF">
        <w:rPr>
          <w:sz w:val="28"/>
          <w:szCs w:val="28"/>
        </w:rPr>
        <w:t>2012.</w:t>
      </w:r>
    </w:p>
    <w:sectPr w:rsidR="008926EF" w:rsidRPr="008926EF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A504A"/>
    <w:multiLevelType w:val="hybridMultilevel"/>
    <w:tmpl w:val="C91E26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A5D51"/>
    <w:multiLevelType w:val="hybridMultilevel"/>
    <w:tmpl w:val="982C3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826D8"/>
    <w:multiLevelType w:val="hybridMultilevel"/>
    <w:tmpl w:val="E5D22F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B5A28"/>
    <w:multiLevelType w:val="hybridMultilevel"/>
    <w:tmpl w:val="982C3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2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3C6CE7"/>
    <w:rsid w:val="00474F5D"/>
    <w:rsid w:val="004A4DF1"/>
    <w:rsid w:val="0051380F"/>
    <w:rsid w:val="006C08FB"/>
    <w:rsid w:val="007652A0"/>
    <w:rsid w:val="008926EF"/>
    <w:rsid w:val="00A678E5"/>
    <w:rsid w:val="00AE6AA1"/>
    <w:rsid w:val="00AF4CA3"/>
    <w:rsid w:val="00BD79D0"/>
    <w:rsid w:val="00BF5EC9"/>
    <w:rsid w:val="00C00B5D"/>
    <w:rsid w:val="00D714B0"/>
    <w:rsid w:val="00DB723F"/>
    <w:rsid w:val="00E157CF"/>
    <w:rsid w:val="00E7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72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8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8E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CA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CA3"/>
    <w:rPr>
      <w:rFonts w:ascii="Times New Roman" w:hAnsi="Times New Roman" w:cs="Times New Roman"/>
      <w:noProof/>
      <w:sz w:val="18"/>
      <w:szCs w:val="18"/>
    </w:rPr>
  </w:style>
  <w:style w:type="character" w:customStyle="1" w:styleId="tojvnm2t">
    <w:name w:val="tojvnm2t"/>
    <w:basedOn w:val="DefaultParagraphFont"/>
    <w:rsid w:val="0089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dmila.oreska@unib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na.cernackova@uniba.sk" TargetMode="External"/><Relationship Id="rId5" Type="http://schemas.openxmlformats.org/officeDocument/2006/relationships/hyperlink" Target="mailto:viktor.bielik@uniba.s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Kubáňová Libuša</cp:lastModifiedBy>
  <cp:revision>12</cp:revision>
  <dcterms:created xsi:type="dcterms:W3CDTF">2022-09-08T22:19:00Z</dcterms:created>
  <dcterms:modified xsi:type="dcterms:W3CDTF">2022-09-19T08:44:00Z</dcterms:modified>
</cp:coreProperties>
</file>