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BAF25" w14:textId="3C251A59" w:rsidR="00030331" w:rsidRPr="00D47B1C" w:rsidRDefault="00DB723F" w:rsidP="00DB723F">
      <w:pPr>
        <w:jc w:val="center"/>
        <w:rPr>
          <w:rFonts w:ascii="Calibri" w:hAnsi="Calibri"/>
          <w:b/>
          <w:bCs/>
          <w:sz w:val="28"/>
          <w:szCs w:val="28"/>
        </w:rPr>
      </w:pPr>
      <w:r w:rsidRPr="00D47B1C">
        <w:rPr>
          <w:rFonts w:ascii="Calibri" w:hAnsi="Calibri"/>
          <w:b/>
          <w:bCs/>
          <w:sz w:val="28"/>
          <w:szCs w:val="28"/>
        </w:rPr>
        <w:t>Podmienky na udelenie kreditov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47B1C" w14:paraId="5F925DA8" w14:textId="77777777" w:rsidTr="004A4DF1">
        <w:tc>
          <w:tcPr>
            <w:tcW w:w="2972" w:type="dxa"/>
          </w:tcPr>
          <w:p w14:paraId="791BF00B" w14:textId="5BB3817D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467800F4" w:rsidR="00DB723F" w:rsidRPr="00D47B1C" w:rsidRDefault="00D47B1C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Regenerácia v športe</w:t>
            </w:r>
          </w:p>
        </w:tc>
      </w:tr>
      <w:tr w:rsidR="00DB723F" w:rsidRPr="00D47B1C" w14:paraId="4164CD75" w14:textId="77777777" w:rsidTr="004A4DF1">
        <w:tc>
          <w:tcPr>
            <w:tcW w:w="2972" w:type="dxa"/>
          </w:tcPr>
          <w:p w14:paraId="0D1FE4C7" w14:textId="03ED7B9D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Povinný predmet</w:t>
            </w:r>
          </w:p>
        </w:tc>
      </w:tr>
      <w:tr w:rsidR="00DB723F" w:rsidRPr="00D47B1C" w14:paraId="307C155A" w14:textId="77777777" w:rsidTr="004A4DF1">
        <w:tc>
          <w:tcPr>
            <w:tcW w:w="2972" w:type="dxa"/>
          </w:tcPr>
          <w:p w14:paraId="532AEB87" w14:textId="0C17C922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9971452" w:rsidR="00DB723F" w:rsidRPr="00D47B1C" w:rsidRDefault="00082195" w:rsidP="00DB723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4</w:t>
            </w:r>
          </w:p>
        </w:tc>
      </w:tr>
      <w:tr w:rsidR="00DB723F" w:rsidRPr="00D47B1C" w14:paraId="59361943" w14:textId="77777777" w:rsidTr="004A4DF1">
        <w:tc>
          <w:tcPr>
            <w:tcW w:w="2972" w:type="dxa"/>
          </w:tcPr>
          <w:p w14:paraId="234BF01E" w14:textId="08139A13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3F70F210" w:rsidR="00DB723F" w:rsidRPr="00D47B1C" w:rsidRDefault="00D47B1C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1</w:t>
            </w:r>
            <w:r w:rsidR="00DB723F" w:rsidRPr="00D47B1C">
              <w:rPr>
                <w:rFonts w:ascii="Calibri" w:hAnsi="Calibri"/>
                <w:sz w:val="28"/>
                <w:szCs w:val="28"/>
              </w:rPr>
              <w:t>.</w:t>
            </w:r>
          </w:p>
        </w:tc>
      </w:tr>
      <w:tr w:rsidR="00DB723F" w:rsidRPr="00D47B1C" w14:paraId="5D0ADB19" w14:textId="77777777" w:rsidTr="004A4DF1">
        <w:tc>
          <w:tcPr>
            <w:tcW w:w="2972" w:type="dxa"/>
          </w:tcPr>
          <w:p w14:paraId="0B741535" w14:textId="576D6F03" w:rsidR="00DB723F" w:rsidRPr="00D47B1C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>Vyučujúci</w:t>
            </w:r>
            <w:r w:rsidR="00D714B0" w:rsidRPr="00D47B1C">
              <w:rPr>
                <w:rFonts w:ascii="Calibri" w:hAnsi="Calibri"/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0484559A" w:rsidR="00DB723F" w:rsidRPr="00D47B1C" w:rsidRDefault="00D47B1C" w:rsidP="00DB723F">
            <w:pPr>
              <w:rPr>
                <w:rFonts w:ascii="Calibri" w:hAnsi="Calibri"/>
                <w:sz w:val="28"/>
                <w:szCs w:val="28"/>
              </w:rPr>
            </w:pPr>
            <w:r w:rsidRPr="00D47B1C">
              <w:rPr>
                <w:rFonts w:ascii="Calibri" w:hAnsi="Calibri"/>
                <w:sz w:val="28"/>
                <w:szCs w:val="28"/>
              </w:rPr>
              <w:t xml:space="preserve">doc. RNDr. Viktor Bielik, PhD., </w:t>
            </w:r>
            <w:hyperlink r:id="rId5" w:history="1">
              <w:r w:rsidRPr="00D47B1C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viktor.bielik@uniba.sk</w:t>
              </w:r>
            </w:hyperlink>
          </w:p>
        </w:tc>
      </w:tr>
    </w:tbl>
    <w:p w14:paraId="76709FD8" w14:textId="3093B7F7" w:rsidR="00DB723F" w:rsidRPr="00D47B1C" w:rsidRDefault="00DB723F" w:rsidP="00BF5EC9">
      <w:pPr>
        <w:spacing w:after="0" w:line="240" w:lineRule="auto"/>
        <w:rPr>
          <w:rFonts w:ascii="Calibri" w:hAnsi="Calibri"/>
          <w:b/>
          <w:bCs/>
          <w:sz w:val="28"/>
          <w:szCs w:val="28"/>
        </w:rPr>
      </w:pPr>
    </w:p>
    <w:p w14:paraId="3DA9E241" w14:textId="0FE5ACBA" w:rsidR="00D47B1C" w:rsidRPr="00D47B1C" w:rsidRDefault="00DB723F" w:rsidP="00D47B1C">
      <w:pPr>
        <w:spacing w:after="0" w:line="240" w:lineRule="auto"/>
        <w:rPr>
          <w:rFonts w:ascii="Calibri" w:hAnsi="Calibri"/>
          <w:b/>
          <w:bCs/>
          <w:sz w:val="28"/>
          <w:szCs w:val="28"/>
        </w:rPr>
      </w:pPr>
      <w:r w:rsidRPr="00D47B1C">
        <w:rPr>
          <w:rFonts w:ascii="Calibri" w:hAnsi="Calibri"/>
          <w:b/>
          <w:bCs/>
          <w:sz w:val="28"/>
          <w:szCs w:val="28"/>
        </w:rPr>
        <w:t>Na udelenie kreditov je študent povinný splniť:</w:t>
      </w:r>
    </w:p>
    <w:p w14:paraId="39599C40" w14:textId="73C51C92" w:rsidR="00D47B1C" w:rsidRPr="00D47B1C" w:rsidRDefault="00B53435" w:rsidP="00D47B1C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</w:t>
      </w:r>
      <w:r w:rsidR="00D47B1C" w:rsidRPr="00D47B1C">
        <w:rPr>
          <w:rFonts w:ascii="Calibri" w:hAnsi="Calibri"/>
          <w:sz w:val="28"/>
          <w:szCs w:val="28"/>
        </w:rPr>
        <w:t>ktívna účasť študenta na prednáškach a</w:t>
      </w:r>
      <w:r>
        <w:rPr>
          <w:rFonts w:ascii="Calibri" w:hAnsi="Calibri"/>
          <w:sz w:val="28"/>
          <w:szCs w:val="28"/>
        </w:rPr>
        <w:t> </w:t>
      </w:r>
      <w:r w:rsidR="00D47B1C" w:rsidRPr="00D47B1C">
        <w:rPr>
          <w:rFonts w:ascii="Calibri" w:hAnsi="Calibri"/>
          <w:sz w:val="28"/>
          <w:szCs w:val="28"/>
        </w:rPr>
        <w:t>seminároch</w:t>
      </w:r>
      <w:r>
        <w:rPr>
          <w:rFonts w:ascii="Calibri" w:hAnsi="Calibri"/>
          <w:sz w:val="28"/>
          <w:szCs w:val="28"/>
        </w:rPr>
        <w:t>,</w:t>
      </w:r>
    </w:p>
    <w:p w14:paraId="59FC92FA" w14:textId="22E4B9CF" w:rsidR="00D47B1C" w:rsidRPr="00D47B1C" w:rsidRDefault="00B53435" w:rsidP="00D47B1C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z</w:t>
      </w:r>
      <w:r w:rsidR="00D47B1C" w:rsidRPr="00D47B1C">
        <w:rPr>
          <w:rFonts w:ascii="Calibri" w:hAnsi="Calibri"/>
          <w:sz w:val="28"/>
          <w:szCs w:val="28"/>
        </w:rPr>
        <w:t>vládnutie základných masérskych zručností a ukážka masáže svalov dolných a horných končatín a</w:t>
      </w:r>
      <w:r>
        <w:rPr>
          <w:rFonts w:ascii="Calibri" w:hAnsi="Calibri"/>
          <w:sz w:val="28"/>
          <w:szCs w:val="28"/>
        </w:rPr>
        <w:t> </w:t>
      </w:r>
      <w:r w:rsidR="00D47B1C" w:rsidRPr="00D47B1C">
        <w:rPr>
          <w:rFonts w:ascii="Calibri" w:hAnsi="Calibri"/>
          <w:sz w:val="28"/>
          <w:szCs w:val="28"/>
        </w:rPr>
        <w:t>chrbta</w:t>
      </w:r>
      <w:r>
        <w:rPr>
          <w:rFonts w:ascii="Calibri" w:hAnsi="Calibri"/>
          <w:sz w:val="28"/>
          <w:szCs w:val="28"/>
        </w:rPr>
        <w:t>,</w:t>
      </w:r>
    </w:p>
    <w:p w14:paraId="3DCC056A" w14:textId="42B07E6E" w:rsidR="00D47B1C" w:rsidRPr="00D47B1C" w:rsidRDefault="00B53435" w:rsidP="00D47B1C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z</w:t>
      </w:r>
      <w:r w:rsidR="00D47B1C" w:rsidRPr="00D47B1C">
        <w:rPr>
          <w:rFonts w:ascii="Calibri" w:hAnsi="Calibri"/>
          <w:sz w:val="28"/>
          <w:szCs w:val="28"/>
        </w:rPr>
        <w:t>áverečný test, ktorý predstavuje 100 % záverečného hodnotenia. Podmienkou účasti na skúške je splnenie priebežných podmienok hodnotenia predmetu.</w:t>
      </w:r>
    </w:p>
    <w:p w14:paraId="506BD7BA" w14:textId="77777777" w:rsidR="00D47B1C" w:rsidRPr="00D47B1C" w:rsidRDefault="00D47B1C" w:rsidP="00D47B1C">
      <w:pPr>
        <w:spacing w:before="60"/>
        <w:rPr>
          <w:rFonts w:ascii="Calibri" w:hAnsi="Calibri"/>
          <w:sz w:val="28"/>
          <w:szCs w:val="28"/>
        </w:rPr>
      </w:pPr>
    </w:p>
    <w:p w14:paraId="56F875E5" w14:textId="26C0E05B" w:rsidR="00D47B1C" w:rsidRPr="00D47B1C" w:rsidRDefault="00D47B1C" w:rsidP="00D47B1C">
      <w:pPr>
        <w:spacing w:before="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Celkové hodnotenie:</w:t>
      </w:r>
    </w:p>
    <w:p w14:paraId="14CFA97C" w14:textId="6A159F7B" w:rsidR="00D47B1C" w:rsidRPr="00D47B1C" w:rsidRDefault="00D47B1C" w:rsidP="00D47B1C">
      <w:pPr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A – 100 až 91 bodov, B – 90 až 81 bodov, C – 80 až 71 bodov, D – 70 až 61 bodov, E – 60 až 51 bodov, FX – 50 a menej bodov.</w:t>
      </w:r>
    </w:p>
    <w:p w14:paraId="7DA5C4F9" w14:textId="77777777" w:rsidR="00D47B1C" w:rsidRPr="00D47B1C" w:rsidRDefault="00D47B1C" w:rsidP="00D47B1C">
      <w:pPr>
        <w:spacing w:before="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Kredity sa neudelia študentovi, ktorý:</w:t>
      </w:r>
    </w:p>
    <w:p w14:paraId="5B8276DF" w14:textId="77777777" w:rsidR="00D47B1C" w:rsidRPr="00D47B1C" w:rsidRDefault="00D47B1C" w:rsidP="00D47B1C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počas semestra nesplnil aspoň 80 % účasť na prednáškach a seminároch,</w:t>
      </w:r>
    </w:p>
    <w:p w14:paraId="1BB78CC6" w14:textId="77777777" w:rsidR="00D47B1C" w:rsidRPr="00D47B1C" w:rsidRDefault="00D47B1C" w:rsidP="00D47B1C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nepreukázal zvládnutie základných hmatov a postupov masírovania,</w:t>
      </w:r>
    </w:p>
    <w:p w14:paraId="4B8B7B8F" w14:textId="6BA04D3C" w:rsidR="00BD79D0" w:rsidRPr="00D47B1C" w:rsidRDefault="00D47B1C" w:rsidP="00D47B1C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zo záverečného testu nezískal 51 a viac bodov.</w:t>
      </w:r>
    </w:p>
    <w:p w14:paraId="7FBFF7AC" w14:textId="7C45FAB6" w:rsidR="00D47B1C" w:rsidRPr="00D47B1C" w:rsidRDefault="00D47B1C" w:rsidP="00D47B1C">
      <w:pPr>
        <w:spacing w:after="0" w:line="240" w:lineRule="auto"/>
        <w:rPr>
          <w:rFonts w:ascii="Calibri" w:hAnsi="Calibri"/>
          <w:sz w:val="28"/>
          <w:szCs w:val="28"/>
        </w:rPr>
      </w:pPr>
    </w:p>
    <w:p w14:paraId="19D59C58" w14:textId="77777777" w:rsidR="00D47B1C" w:rsidRPr="00D47B1C" w:rsidRDefault="00D47B1C" w:rsidP="00D47B1C">
      <w:pPr>
        <w:jc w:val="both"/>
        <w:rPr>
          <w:rFonts w:ascii="Calibri" w:hAnsi="Calibri"/>
          <w:b/>
          <w:sz w:val="28"/>
          <w:szCs w:val="28"/>
        </w:rPr>
      </w:pPr>
      <w:r w:rsidRPr="00D47B1C">
        <w:rPr>
          <w:rFonts w:ascii="Calibri" w:hAnsi="Calibri"/>
          <w:b/>
          <w:sz w:val="28"/>
          <w:szCs w:val="28"/>
        </w:rPr>
        <w:t xml:space="preserve">Osnova predmetu </w:t>
      </w:r>
    </w:p>
    <w:p w14:paraId="0568A16E" w14:textId="30288B67" w:rsidR="00D47B1C" w:rsidRPr="00D47B1C" w:rsidRDefault="00D47B1C" w:rsidP="00D47B1C">
      <w:pPr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b/>
          <w:sz w:val="28"/>
          <w:szCs w:val="28"/>
        </w:rPr>
        <w:t>Prednášky:</w:t>
      </w:r>
    </w:p>
    <w:p w14:paraId="1A05BC40" w14:textId="1A94F8BF" w:rsidR="00D47B1C" w:rsidRPr="00D47B1C" w:rsidRDefault="00D47B1C" w:rsidP="00D47B1C">
      <w:pPr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1. Únava. Fyziologické a patofyziológické prejavy únavy. Centrálna a periférna únava. Prostriedky a metódy na diagnostikovanie únavy.</w:t>
      </w:r>
    </w:p>
    <w:p w14:paraId="69139B12" w14:textId="77777777" w:rsidR="00D47B1C" w:rsidRPr="00D47B1C" w:rsidRDefault="00D47B1C" w:rsidP="00D47B1C">
      <w:pPr>
        <w:spacing w:before="1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2. Regenerácia. Pasívna a aktívna regenerácia. Včasná a neskorá fáza regenerácie.</w:t>
      </w:r>
    </w:p>
    <w:p w14:paraId="3030E7BE" w14:textId="77777777" w:rsidR="00D47B1C" w:rsidRPr="00D47B1C" w:rsidRDefault="00D47B1C" w:rsidP="00D47B1C">
      <w:pPr>
        <w:spacing w:before="1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lastRenderedPageBreak/>
        <w:t>3. Pedagogické prostriedky regenerácie. Tréningový plán. Regenerácia počas tréningovej jednotky v závislosti od charakteru a dĺžky trvania intervalu odpočinku a záťaže. Denný režim detí, mládeže a vrcholového športovca.</w:t>
      </w:r>
    </w:p>
    <w:p w14:paraId="5F373492" w14:textId="77777777" w:rsidR="00D47B1C" w:rsidRPr="00D47B1C" w:rsidRDefault="00D47B1C" w:rsidP="00D47B1C">
      <w:pPr>
        <w:spacing w:before="1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4. Psychologické prostriedky regenerácie. Psychologické prejavy únavy (pretrénovanie, prepätie). Medziľudské vzťahy, kolektív. Závislosť od športu. Hudba v regenerácii. Relaxácia a autoregulačné cvičenia, autogénny tréning.</w:t>
      </w:r>
    </w:p>
    <w:p w14:paraId="63E8A8FE" w14:textId="77777777" w:rsidR="00D47B1C" w:rsidRPr="00D47B1C" w:rsidRDefault="00D47B1C" w:rsidP="00D47B1C">
      <w:pPr>
        <w:spacing w:before="1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5. Biologické prostriedky regenerácie I - Doplňovanie energie a pitný režim pred, počas a po skončení športového výkonu, telesnej práce.</w:t>
      </w:r>
    </w:p>
    <w:p w14:paraId="0DFA0A48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 xml:space="preserve">6. Biologické prostriedky regenerácie II - Aktívna pohybová regenerácia počas a po skončení tréningovej jednotky. Pohybová regenerácia ako samostatná tréningová jednotka. </w:t>
      </w:r>
    </w:p>
    <w:p w14:paraId="4C6927E0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7. Fyzikálne prostriedky regenerácie I - Základná masáž. Charakteristika, fyziologické a psychologické účinky masáže, kontraindikácie masáže, pomocné masážne prostriedky.</w:t>
      </w:r>
    </w:p>
    <w:p w14:paraId="792B8D4B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 xml:space="preserve">8. Fyzikálne prostriedky regenerácie II - Športová masáž. Druhy športovej masáže. </w:t>
      </w:r>
    </w:p>
    <w:p w14:paraId="16D87D0C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9. Fyzikálne prostriedky regenerácie III. - Teplovzdušné kúpele. Druhy teplovzdušných kúpeľov (fínska sauna, parná sauna). Fyziologické a psychologické účinky saunovania.</w:t>
      </w:r>
    </w:p>
    <w:p w14:paraId="0A41E026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 xml:space="preserve">10. Fyzikálne prostriedky regenerácie IV. - Kryoterapia. Vzdušné a vodné prostriedky kryoterapie. Fyziologické a psychologické účinky vyvolané pôsobením chladu. </w:t>
      </w:r>
    </w:p>
    <w:p w14:paraId="1C40BA6B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11. Fyzikálne prostriedky regenerácie V. - Kompresný odev. Penové masážne valce. Vibračné prostriedky.</w:t>
      </w:r>
    </w:p>
    <w:p w14:paraId="7A3C5F94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12. Wellness zariadenia a relaxačné centrá. Kombinácia procedúr a spôsobov odpočinku. Základný protokol slušného a diskrétneho správania sa, individuálny prístup a ochrana osobných údajov klienta.</w:t>
      </w:r>
    </w:p>
    <w:p w14:paraId="74030163" w14:textId="77777777" w:rsidR="00D47B1C" w:rsidRPr="00D47B1C" w:rsidRDefault="00D47B1C" w:rsidP="00D47B1C">
      <w:pPr>
        <w:rPr>
          <w:rFonts w:ascii="Calibri" w:hAnsi="Calibri"/>
          <w:sz w:val="28"/>
          <w:szCs w:val="28"/>
        </w:rPr>
      </w:pPr>
    </w:p>
    <w:p w14:paraId="0C7B5A0E" w14:textId="44D45D30" w:rsidR="00D47B1C" w:rsidRPr="00D47B1C" w:rsidRDefault="00D47B1C" w:rsidP="00D47B1C">
      <w:pPr>
        <w:rPr>
          <w:rFonts w:ascii="Calibri" w:hAnsi="Calibri"/>
          <w:b/>
          <w:sz w:val="28"/>
          <w:szCs w:val="28"/>
        </w:rPr>
      </w:pPr>
      <w:r w:rsidRPr="00D47B1C">
        <w:rPr>
          <w:rFonts w:ascii="Calibri" w:hAnsi="Calibri"/>
          <w:b/>
          <w:sz w:val="28"/>
          <w:szCs w:val="28"/>
        </w:rPr>
        <w:t>Semináre:</w:t>
      </w:r>
    </w:p>
    <w:p w14:paraId="733A7318" w14:textId="66086E08" w:rsidR="00D47B1C" w:rsidRPr="00D47B1C" w:rsidRDefault="00D47B1C" w:rsidP="00D47B1C">
      <w:pPr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1. Nácvik masážnych hmatov – trenie, vytieranie a rozotieranie.</w:t>
      </w:r>
    </w:p>
    <w:p w14:paraId="245E5FC6" w14:textId="1B3AC6EB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2. Nácvik masážnych hmatov – hnetenie, chvenie, otriasanie a tepanie.</w:t>
      </w:r>
    </w:p>
    <w:p w14:paraId="538CF2BD" w14:textId="38EDF745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lastRenderedPageBreak/>
        <w:t>3. Nácvik masážnych postupov – noha a predkolenie spredu.</w:t>
      </w:r>
    </w:p>
    <w:p w14:paraId="61492542" w14:textId="1C33DA00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4. Nácvik masážnych postupov – stehno spredu.</w:t>
      </w:r>
    </w:p>
    <w:p w14:paraId="4E2744B2" w14:textId="0C3EF3DE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5. Opakovanie masážnych postupov – dolná končatina spredu.</w:t>
      </w:r>
    </w:p>
    <w:p w14:paraId="538333D5" w14:textId="661E3229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6. Nácvik masážnych postupov – dolná končatina zozadu.</w:t>
      </w:r>
    </w:p>
    <w:p w14:paraId="6B68640B" w14:textId="2F7736AC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7. Opakovanie masážnych postupov – dolná končatina zozadu.</w:t>
      </w:r>
    </w:p>
    <w:p w14:paraId="1ED2E8E4" w14:textId="0B792DEB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8. Nácvik masážnych postupov – krížová a bedrová oblasť chrbtice.</w:t>
      </w:r>
    </w:p>
    <w:p w14:paraId="1C3D4613" w14:textId="42E34426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9. Nácvik masážnych postupov – hrudná a krčná oblasť chrbtice.</w:t>
      </w:r>
    </w:p>
    <w:p w14:paraId="75B6192C" w14:textId="23BA2CFD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10. Opakovanie masážnych postupov – celý chrbát.</w:t>
      </w:r>
    </w:p>
    <w:p w14:paraId="65F097C1" w14:textId="385CAED1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11. Nácvik masážnych postupov – voľná horná končatina.</w:t>
      </w:r>
    </w:p>
    <w:p w14:paraId="59FAC12C" w14:textId="56AB57A6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12. Opakovanie masážnych postupov – voľná horná končatina.</w:t>
      </w:r>
    </w:p>
    <w:p w14:paraId="03D18AB5" w14:textId="07E68AB3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13. Praktická ukážka masírovania – zápočet.</w:t>
      </w:r>
    </w:p>
    <w:p w14:paraId="32639DCA" w14:textId="77777777" w:rsidR="00D47B1C" w:rsidRPr="00D47B1C" w:rsidRDefault="00D47B1C" w:rsidP="00D47B1C">
      <w:pPr>
        <w:spacing w:before="160"/>
        <w:rPr>
          <w:rFonts w:ascii="Calibri" w:hAnsi="Calibri"/>
          <w:sz w:val="28"/>
          <w:szCs w:val="28"/>
        </w:rPr>
      </w:pPr>
    </w:p>
    <w:p w14:paraId="7F1C1F16" w14:textId="77777777" w:rsidR="00D47B1C" w:rsidRPr="00D47B1C" w:rsidRDefault="00D47B1C" w:rsidP="00D47B1C">
      <w:pPr>
        <w:jc w:val="both"/>
        <w:rPr>
          <w:rFonts w:ascii="Calibri" w:hAnsi="Calibri"/>
          <w:b/>
          <w:bCs/>
          <w:sz w:val="28"/>
          <w:szCs w:val="28"/>
        </w:rPr>
      </w:pPr>
      <w:r w:rsidRPr="00D47B1C">
        <w:rPr>
          <w:rFonts w:ascii="Calibri" w:hAnsi="Calibri"/>
          <w:b/>
          <w:bCs/>
          <w:sz w:val="28"/>
          <w:szCs w:val="28"/>
        </w:rPr>
        <w:t>Odporúčaná literatúra:</w:t>
      </w:r>
    </w:p>
    <w:p w14:paraId="74E17F88" w14:textId="77777777" w:rsidR="00D47B1C" w:rsidRPr="00D47B1C" w:rsidRDefault="00D47B1C" w:rsidP="00D47B1C">
      <w:pPr>
        <w:spacing w:before="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  <w:lang w:val="en-US"/>
        </w:rPr>
        <w:t xml:space="preserve">Bielik </w:t>
      </w:r>
      <w:r w:rsidRPr="00D47B1C">
        <w:rPr>
          <w:rFonts w:ascii="Calibri" w:hAnsi="Calibri"/>
          <w:sz w:val="28"/>
          <w:szCs w:val="28"/>
        </w:rPr>
        <w:t>V.</w:t>
      </w:r>
      <w:r w:rsidRPr="00D47B1C">
        <w:rPr>
          <w:rFonts w:ascii="Calibri" w:hAnsi="Calibri"/>
          <w:sz w:val="28"/>
          <w:szCs w:val="28"/>
          <w:lang w:val="en-US"/>
        </w:rPr>
        <w:t xml:space="preserve"> Regenerácia v športe. </w:t>
      </w:r>
      <w:r w:rsidRPr="00D47B1C">
        <w:rPr>
          <w:rFonts w:ascii="Calibri" w:hAnsi="Calibri"/>
          <w:sz w:val="28"/>
          <w:szCs w:val="28"/>
        </w:rPr>
        <w:t>Vysokoškolská učebnica</w:t>
      </w:r>
      <w:r w:rsidRPr="00D47B1C">
        <w:rPr>
          <w:rFonts w:ascii="Calibri" w:hAnsi="Calibri"/>
          <w:sz w:val="28"/>
          <w:szCs w:val="28"/>
          <w:lang w:val="en-US"/>
        </w:rPr>
        <w:t>. 20</w:t>
      </w:r>
      <w:r w:rsidRPr="00D47B1C">
        <w:rPr>
          <w:rFonts w:ascii="Calibri" w:hAnsi="Calibri"/>
          <w:sz w:val="28"/>
          <w:szCs w:val="28"/>
        </w:rPr>
        <w:t>14</w:t>
      </w:r>
      <w:r w:rsidRPr="00D47B1C">
        <w:rPr>
          <w:rFonts w:ascii="Calibri" w:hAnsi="Calibri"/>
          <w:sz w:val="28"/>
          <w:szCs w:val="28"/>
          <w:lang w:val="en-US"/>
        </w:rPr>
        <w:t xml:space="preserve">; </w:t>
      </w:r>
      <w:r w:rsidRPr="00D47B1C">
        <w:rPr>
          <w:rFonts w:ascii="Calibri" w:hAnsi="Calibri"/>
          <w:sz w:val="28"/>
          <w:szCs w:val="28"/>
        </w:rPr>
        <w:t>Sportdiag team o.z. a SVSTVŠ Bratislava, 139 s.</w:t>
      </w:r>
    </w:p>
    <w:p w14:paraId="09E67E05" w14:textId="77777777" w:rsidR="00D47B1C" w:rsidRPr="00D47B1C" w:rsidRDefault="00D47B1C" w:rsidP="00D47B1C">
      <w:pPr>
        <w:spacing w:before="60"/>
        <w:jc w:val="both"/>
        <w:rPr>
          <w:rFonts w:ascii="Calibri" w:hAnsi="Calibri"/>
          <w:sz w:val="28"/>
          <w:szCs w:val="28"/>
        </w:rPr>
      </w:pPr>
      <w:r w:rsidRPr="00D47B1C">
        <w:rPr>
          <w:rFonts w:ascii="Calibri" w:hAnsi="Calibri"/>
          <w:sz w:val="28"/>
          <w:szCs w:val="28"/>
        </w:rPr>
        <w:t>Bielik V. Športová masáž. Učebné texty. 2020; Sportdiag team o.z. a SVSTVŠ, Bratislava, 123 s., on-line.</w:t>
      </w:r>
    </w:p>
    <w:p w14:paraId="23B003FB" w14:textId="77777777" w:rsidR="00D47B1C" w:rsidRPr="00D47B1C" w:rsidRDefault="00D47B1C" w:rsidP="00D47B1C">
      <w:pPr>
        <w:spacing w:after="0" w:line="240" w:lineRule="auto"/>
        <w:rPr>
          <w:rFonts w:ascii="Calibri" w:hAnsi="Calibri"/>
          <w:sz w:val="28"/>
          <w:szCs w:val="28"/>
        </w:rPr>
      </w:pPr>
    </w:p>
    <w:sectPr w:rsidR="00D47B1C" w:rsidRPr="00D47B1C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A504A"/>
    <w:multiLevelType w:val="hybridMultilevel"/>
    <w:tmpl w:val="C91E26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826D8"/>
    <w:multiLevelType w:val="hybridMultilevel"/>
    <w:tmpl w:val="E5D22F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082195"/>
    <w:rsid w:val="004A4DF1"/>
    <w:rsid w:val="007652A0"/>
    <w:rsid w:val="00A678E5"/>
    <w:rsid w:val="00B53435"/>
    <w:rsid w:val="00BD79D0"/>
    <w:rsid w:val="00BF5EC9"/>
    <w:rsid w:val="00D47B1C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2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ktor.bielik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Kubáňová Libuša</cp:lastModifiedBy>
  <cp:revision>6</cp:revision>
  <dcterms:created xsi:type="dcterms:W3CDTF">2022-09-08T22:19:00Z</dcterms:created>
  <dcterms:modified xsi:type="dcterms:W3CDTF">2022-09-19T09:22:00Z</dcterms:modified>
</cp:coreProperties>
</file>